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9F9A7">
      <w:pPr>
        <w:pStyle w:val="3"/>
        <w:spacing w:line="255" w:lineRule="auto"/>
      </w:pPr>
    </w:p>
    <w:p w14:paraId="41D30612">
      <w:pPr>
        <w:pStyle w:val="3"/>
        <w:spacing w:line="255" w:lineRule="auto"/>
      </w:pPr>
    </w:p>
    <w:p w14:paraId="73B9DD5F">
      <w:pPr>
        <w:pStyle w:val="3"/>
        <w:spacing w:line="255" w:lineRule="auto"/>
      </w:pPr>
    </w:p>
    <w:p w14:paraId="6F65158B">
      <w:pPr>
        <w:pStyle w:val="3"/>
        <w:spacing w:line="255" w:lineRule="auto"/>
      </w:pPr>
    </w:p>
    <w:p w14:paraId="6252817D">
      <w:pPr>
        <w:pStyle w:val="3"/>
        <w:spacing w:line="256" w:lineRule="auto"/>
      </w:pPr>
    </w:p>
    <w:p w14:paraId="666A4ED5">
      <w:pPr>
        <w:pStyle w:val="3"/>
        <w:spacing w:line="256" w:lineRule="auto"/>
      </w:pPr>
    </w:p>
    <w:p w14:paraId="5D13779C">
      <w:pPr>
        <w:spacing w:before="130" w:line="222" w:lineRule="auto"/>
        <w:ind w:left="2497"/>
        <w:rPr>
          <w:rFonts w:hint="eastAsia" w:ascii="黑体" w:hAnsi="黑体" w:eastAsia="黑体" w:cs="黑体"/>
          <w:sz w:val="36"/>
          <w:szCs w:val="36"/>
          <w14:textOutline w14:w="6537" w14:cap="flat" w14:cmpd="sng">
            <w14:solidFill>
              <w14:srgbClr w14:val="000000"/>
            </w14:solidFill>
            <w14:prstDash w14:val="solid"/>
            <w14:miter w14:val="0"/>
          </w14:textOutline>
        </w:rPr>
      </w:pPr>
    </w:p>
    <w:p w14:paraId="1714103C">
      <w:pPr>
        <w:spacing w:before="130" w:line="222" w:lineRule="auto"/>
        <w:jc w:val="center"/>
        <w:rPr>
          <w:rFonts w:hint="eastAsia" w:ascii="黑体" w:hAnsi="黑体" w:eastAsia="黑体" w:cs="黑体"/>
          <w:sz w:val="36"/>
          <w:szCs w:val="36"/>
          <w:lang w:val="en-US" w:eastAsia="zh-CN"/>
          <w14:textOutline w14:w="6537" w14:cap="flat" w14:cmpd="sng">
            <w14:solidFill>
              <w14:srgbClr w14:val="000000"/>
            </w14:solidFill>
            <w14:prstDash w14:val="solid"/>
            <w14:miter w14:val="0"/>
          </w14:textOutline>
        </w:rPr>
      </w:pPr>
      <w:r>
        <w:rPr>
          <w:rFonts w:hint="eastAsia" w:ascii="黑体" w:hAnsi="黑体" w:eastAsia="黑体" w:cs="黑体"/>
          <w:sz w:val="36"/>
          <w:szCs w:val="36"/>
          <w14:textOutline w14:w="6537" w14:cap="flat" w14:cmpd="sng">
            <w14:solidFill>
              <w14:srgbClr w14:val="000000"/>
            </w14:solidFill>
            <w14:prstDash w14:val="solid"/>
            <w14:miter w14:val="0"/>
          </w14:textOutline>
        </w:rPr>
        <w:t>东南电化公司</w:t>
      </w:r>
      <w:r>
        <w:rPr>
          <w:rFonts w:hint="eastAsia" w:ascii="黑体" w:hAnsi="黑体" w:eastAsia="黑体" w:cs="黑体"/>
          <w:sz w:val="36"/>
          <w:szCs w:val="36"/>
          <w:lang w:val="en-US" w:eastAsia="zh-CN"/>
          <w14:textOutline w14:w="6537" w14:cap="flat" w14:cmpd="sng">
            <w14:solidFill>
              <w14:srgbClr w14:val="000000"/>
            </w14:solidFill>
            <w14:prstDash w14:val="solid"/>
            <w14:miter w14:val="0"/>
          </w14:textOutline>
        </w:rPr>
        <w:t>一二期二次盐水系统扩能改造/</w:t>
      </w:r>
    </w:p>
    <w:p w14:paraId="1ECB13E5">
      <w:pPr>
        <w:spacing w:before="130" w:line="222" w:lineRule="auto"/>
        <w:jc w:val="center"/>
        <w:rPr>
          <w:rFonts w:hint="default" w:ascii="黑体" w:hAnsi="黑体" w:eastAsia="黑体" w:cs="黑体"/>
          <w:sz w:val="36"/>
          <w:szCs w:val="36"/>
          <w:lang w:val="en-US"/>
          <w14:textOutline w14:w="6537" w14:cap="flat" w14:cmpd="sng">
            <w14:solidFill>
              <w14:srgbClr w14:val="000000"/>
            </w14:solidFill>
            <w14:prstDash w14:val="solid"/>
            <w14:miter w14:val="0"/>
          </w14:textOutline>
        </w:rPr>
      </w:pPr>
      <w:r>
        <w:rPr>
          <w:rFonts w:hint="eastAsia" w:ascii="黑体" w:hAnsi="黑体" w:eastAsia="黑体" w:cs="黑体"/>
          <w:sz w:val="36"/>
          <w:szCs w:val="36"/>
          <w:lang w:val="en-US" w:eastAsia="zh-CN"/>
          <w14:textOutline w14:w="6537" w14:cap="flat" w14:cmpd="sng">
            <w14:solidFill>
              <w14:srgbClr w14:val="000000"/>
            </w14:solidFill>
            <w14:prstDash w14:val="solid"/>
            <w14:miter w14:val="0"/>
          </w14:textOutline>
        </w:rPr>
        <w:t>高盐废水槽移位改造和送万华盐水移位改造项目设计</w:t>
      </w:r>
    </w:p>
    <w:p w14:paraId="34368849">
      <w:pPr>
        <w:spacing w:before="130" w:line="222" w:lineRule="auto"/>
        <w:jc w:val="center"/>
        <w:rPr>
          <w:rFonts w:hint="eastAsia" w:ascii="黑体" w:hAnsi="黑体" w:eastAsia="黑体" w:cs="黑体"/>
          <w:sz w:val="36"/>
          <w:szCs w:val="36"/>
          <w14:textOutline w14:w="6537" w14:cap="flat" w14:cmpd="sng">
            <w14:solidFill>
              <w14:srgbClr w14:val="000000"/>
            </w14:solidFill>
            <w14:prstDash w14:val="solid"/>
            <w14:miter w14:val="0"/>
          </w14:textOutline>
        </w:rPr>
      </w:pPr>
    </w:p>
    <w:p w14:paraId="79D5F302">
      <w:pPr>
        <w:spacing w:before="130" w:line="222" w:lineRule="auto"/>
        <w:jc w:val="center"/>
        <w:outlineLvl w:val="0"/>
        <w:rPr>
          <w:rFonts w:hint="default" w:ascii="黑体" w:hAnsi="黑体" w:eastAsia="黑体" w:cs="黑体"/>
          <w:sz w:val="36"/>
          <w:szCs w:val="36"/>
          <w:lang w:val="en-US" w:eastAsia="zh-CN"/>
        </w:rPr>
      </w:pPr>
      <w:bookmarkStart w:id="0" w:name="_Toc21538"/>
      <w:r>
        <w:rPr>
          <w:rFonts w:hint="eastAsia" w:ascii="黑体" w:hAnsi="黑体" w:eastAsia="黑体" w:cs="黑体"/>
          <w:sz w:val="36"/>
          <w:szCs w:val="36"/>
          <w:lang w:val="en-US" w:eastAsia="zh-CN"/>
          <w14:textOutline w14:w="6537" w14:cap="flat" w14:cmpd="sng">
            <w14:solidFill>
              <w14:srgbClr w14:val="000000"/>
            </w14:solidFill>
            <w14:prstDash w14:val="solid"/>
            <w14:miter w14:val="0"/>
          </w14:textOutline>
        </w:rPr>
        <w:t>衬里设备采购技术协议</w:t>
      </w:r>
      <w:bookmarkEnd w:id="0"/>
    </w:p>
    <w:p w14:paraId="1DDF012A">
      <w:pPr>
        <w:pStyle w:val="3"/>
        <w:spacing w:line="248" w:lineRule="auto"/>
      </w:pPr>
    </w:p>
    <w:p w14:paraId="02432DBA">
      <w:pPr>
        <w:pStyle w:val="3"/>
        <w:spacing w:line="248" w:lineRule="auto"/>
      </w:pPr>
    </w:p>
    <w:p w14:paraId="1A29C0F2">
      <w:pPr>
        <w:pStyle w:val="3"/>
        <w:spacing w:line="248" w:lineRule="auto"/>
      </w:pPr>
    </w:p>
    <w:p w14:paraId="6DF890C3">
      <w:pPr>
        <w:pStyle w:val="3"/>
        <w:spacing w:line="248" w:lineRule="auto"/>
      </w:pPr>
    </w:p>
    <w:p w14:paraId="11BE028A">
      <w:pPr>
        <w:pStyle w:val="3"/>
        <w:spacing w:line="248" w:lineRule="auto"/>
      </w:pPr>
    </w:p>
    <w:p w14:paraId="088835B2">
      <w:pPr>
        <w:pStyle w:val="3"/>
        <w:spacing w:line="249" w:lineRule="auto"/>
      </w:pPr>
    </w:p>
    <w:p w14:paraId="334A67B2">
      <w:pPr>
        <w:pStyle w:val="3"/>
        <w:spacing w:line="249" w:lineRule="auto"/>
      </w:pPr>
    </w:p>
    <w:p w14:paraId="7C8E5D15">
      <w:pPr>
        <w:pStyle w:val="3"/>
        <w:spacing w:line="249" w:lineRule="auto"/>
      </w:pPr>
    </w:p>
    <w:p w14:paraId="17B812B6">
      <w:pPr>
        <w:pStyle w:val="3"/>
        <w:spacing w:line="249" w:lineRule="auto"/>
      </w:pPr>
    </w:p>
    <w:p w14:paraId="034FDDB3">
      <w:pPr>
        <w:pStyle w:val="3"/>
        <w:spacing w:line="249" w:lineRule="auto"/>
      </w:pPr>
    </w:p>
    <w:p w14:paraId="407E6813">
      <w:pPr>
        <w:pStyle w:val="3"/>
        <w:spacing w:line="249" w:lineRule="auto"/>
      </w:pPr>
    </w:p>
    <w:p w14:paraId="664BBD01">
      <w:pPr>
        <w:pStyle w:val="3"/>
        <w:spacing w:line="249" w:lineRule="auto"/>
      </w:pPr>
    </w:p>
    <w:p w14:paraId="14B6B8FC">
      <w:pPr>
        <w:pStyle w:val="3"/>
        <w:keepNext w:val="0"/>
        <w:keepLines w:val="0"/>
        <w:pageBreakBefore w:val="0"/>
        <w:widowControl/>
        <w:kinsoku w:val="0"/>
        <w:wordWrap/>
        <w:overflowPunct/>
        <w:topLinePunct w:val="0"/>
        <w:autoSpaceDE w:val="0"/>
        <w:autoSpaceDN w:val="0"/>
        <w:bidi w:val="0"/>
        <w:adjustRightInd w:val="0"/>
        <w:snapToGrid w:val="0"/>
        <w:spacing w:line="278" w:lineRule="auto"/>
        <w:ind w:left="0" w:firstLine="1575" w:firstLineChars="750"/>
        <w:textAlignment w:val="baseline"/>
      </w:pPr>
    </w:p>
    <w:p w14:paraId="72067D84">
      <w:pPr>
        <w:pStyle w:val="3"/>
        <w:keepNext w:val="0"/>
        <w:keepLines w:val="0"/>
        <w:pageBreakBefore w:val="0"/>
        <w:widowControl/>
        <w:kinsoku w:val="0"/>
        <w:wordWrap/>
        <w:overflowPunct/>
        <w:topLinePunct w:val="0"/>
        <w:autoSpaceDE w:val="0"/>
        <w:autoSpaceDN w:val="0"/>
        <w:bidi w:val="0"/>
        <w:adjustRightInd w:val="0"/>
        <w:snapToGrid w:val="0"/>
        <w:spacing w:line="279" w:lineRule="auto"/>
        <w:ind w:left="0" w:firstLine="1575" w:firstLineChars="750"/>
        <w:textAlignment w:val="baseline"/>
      </w:pPr>
    </w:p>
    <w:p w14:paraId="2820F90C">
      <w:pPr>
        <w:keepNext w:val="0"/>
        <w:keepLines w:val="0"/>
        <w:pageBreakBefore w:val="0"/>
        <w:widowControl/>
        <w:kinsoku w:val="0"/>
        <w:wordWrap/>
        <w:overflowPunct/>
        <w:topLinePunct w:val="0"/>
        <w:autoSpaceDE w:val="0"/>
        <w:autoSpaceDN w:val="0"/>
        <w:bidi w:val="0"/>
        <w:adjustRightInd w:val="0"/>
        <w:snapToGrid w:val="0"/>
        <w:spacing w:line="220" w:lineRule="auto"/>
        <w:ind w:left="0" w:firstLine="2070" w:firstLineChars="750"/>
        <w:textAlignment w:val="baseline"/>
        <w:rPr>
          <w:rFonts w:ascii="宋体" w:hAnsi="宋体" w:eastAsia="宋体" w:cs="宋体"/>
          <w:sz w:val="28"/>
          <w:szCs w:val="28"/>
        </w:rPr>
      </w:pPr>
      <w:r>
        <w:rPr>
          <w:rFonts w:ascii="宋体" w:hAnsi="宋体" w:eastAsia="宋体" w:cs="宋体"/>
          <w:spacing w:val="-2"/>
          <w:sz w:val="28"/>
          <w:szCs w:val="28"/>
        </w:rPr>
        <w:t>买方：</w:t>
      </w:r>
      <w:r>
        <w:rPr>
          <w:rFonts w:ascii="宋体" w:hAnsi="宋体" w:eastAsia="宋体" w:cs="宋体"/>
          <w:spacing w:val="-1"/>
          <w:sz w:val="28"/>
          <w:szCs w:val="28"/>
        </w:rPr>
        <w:t>福建省东南电化股份有限公司</w:t>
      </w:r>
    </w:p>
    <w:p w14:paraId="39368FE3">
      <w:pPr>
        <w:pStyle w:val="3"/>
        <w:keepNext w:val="0"/>
        <w:keepLines w:val="0"/>
        <w:pageBreakBefore w:val="0"/>
        <w:widowControl/>
        <w:kinsoku w:val="0"/>
        <w:wordWrap/>
        <w:overflowPunct/>
        <w:topLinePunct w:val="0"/>
        <w:autoSpaceDE w:val="0"/>
        <w:autoSpaceDN w:val="0"/>
        <w:bidi w:val="0"/>
        <w:adjustRightInd w:val="0"/>
        <w:snapToGrid w:val="0"/>
        <w:spacing w:line="278" w:lineRule="auto"/>
        <w:ind w:left="0" w:firstLine="1575" w:firstLineChars="750"/>
        <w:textAlignment w:val="baseline"/>
      </w:pPr>
    </w:p>
    <w:p w14:paraId="6FBF1C9B">
      <w:pPr>
        <w:pStyle w:val="3"/>
        <w:keepNext w:val="0"/>
        <w:keepLines w:val="0"/>
        <w:pageBreakBefore w:val="0"/>
        <w:widowControl/>
        <w:kinsoku w:val="0"/>
        <w:wordWrap/>
        <w:overflowPunct/>
        <w:topLinePunct w:val="0"/>
        <w:autoSpaceDE w:val="0"/>
        <w:autoSpaceDN w:val="0"/>
        <w:bidi w:val="0"/>
        <w:adjustRightInd w:val="0"/>
        <w:snapToGrid w:val="0"/>
        <w:spacing w:line="279" w:lineRule="auto"/>
        <w:ind w:left="0" w:firstLine="1575" w:firstLineChars="750"/>
        <w:textAlignment w:val="baseline"/>
      </w:pPr>
    </w:p>
    <w:p w14:paraId="5BBD5D9B">
      <w:pPr>
        <w:keepNext w:val="0"/>
        <w:keepLines w:val="0"/>
        <w:pageBreakBefore w:val="0"/>
        <w:widowControl/>
        <w:kinsoku w:val="0"/>
        <w:wordWrap/>
        <w:overflowPunct/>
        <w:topLinePunct w:val="0"/>
        <w:autoSpaceDE w:val="0"/>
        <w:autoSpaceDN w:val="0"/>
        <w:bidi w:val="0"/>
        <w:adjustRightInd w:val="0"/>
        <w:snapToGrid w:val="0"/>
        <w:spacing w:line="220" w:lineRule="auto"/>
        <w:ind w:left="0" w:firstLine="2085" w:firstLineChars="750"/>
        <w:textAlignment w:val="baseline"/>
        <w:rPr>
          <w:rFonts w:ascii="宋体" w:hAnsi="宋体" w:eastAsia="宋体" w:cs="宋体"/>
          <w:sz w:val="28"/>
          <w:szCs w:val="28"/>
        </w:rPr>
      </w:pPr>
      <w:r>
        <w:rPr>
          <w:rFonts w:ascii="宋体" w:hAnsi="宋体" w:eastAsia="宋体" w:cs="宋体"/>
          <w:spacing w:val="-1"/>
          <w:sz w:val="28"/>
          <w:szCs w:val="28"/>
        </w:rPr>
        <w:t>卖方：</w:t>
      </w:r>
    </w:p>
    <w:p w14:paraId="1B5255DD">
      <w:pPr>
        <w:keepNext w:val="0"/>
        <w:keepLines w:val="0"/>
        <w:pageBreakBefore w:val="0"/>
        <w:widowControl/>
        <w:kinsoku w:val="0"/>
        <w:wordWrap/>
        <w:overflowPunct/>
        <w:topLinePunct w:val="0"/>
        <w:autoSpaceDE w:val="0"/>
        <w:autoSpaceDN w:val="0"/>
        <w:bidi w:val="0"/>
        <w:adjustRightInd w:val="0"/>
        <w:snapToGrid w:val="0"/>
        <w:spacing w:line="220" w:lineRule="auto"/>
        <w:ind w:left="0" w:firstLine="2100" w:firstLineChars="750"/>
        <w:textAlignment w:val="baseline"/>
        <w:rPr>
          <w:rFonts w:ascii="宋体" w:hAnsi="宋体" w:eastAsia="宋体" w:cs="宋体"/>
          <w:sz w:val="28"/>
          <w:szCs w:val="28"/>
        </w:rPr>
        <w:sectPr>
          <w:pgSz w:w="11906" w:h="16838"/>
          <w:pgMar w:top="1431" w:right="1143" w:bottom="0" w:left="1449" w:header="0" w:footer="0" w:gutter="0"/>
          <w:cols w:space="720" w:num="1"/>
        </w:sectPr>
      </w:pPr>
    </w:p>
    <w:sdt>
      <w:sdtPr>
        <w:rPr>
          <w:rFonts w:ascii="宋体" w:hAnsi="宋体" w:eastAsia="宋体" w:cs="Arial"/>
          <w:b/>
          <w:bCs/>
          <w:snapToGrid w:val="0"/>
          <w:color w:val="000000"/>
          <w:kern w:val="0"/>
          <w:sz w:val="28"/>
          <w:szCs w:val="28"/>
          <w:lang w:val="en-US" w:eastAsia="en-US" w:bidi="ar-SA"/>
        </w:rPr>
        <w:id w:val="147480557"/>
        <w15:color w:val="DBDBDB"/>
        <w:docPartObj>
          <w:docPartGallery w:val="Table of Contents"/>
          <w:docPartUnique/>
        </w:docPartObj>
      </w:sdtPr>
      <w:sdtEndPr>
        <w:rPr>
          <w:rFonts w:ascii="宋体" w:hAnsi="宋体" w:eastAsia="宋体" w:cs="Arial"/>
          <w:b/>
          <w:bCs/>
          <w:snapToGrid w:val="0"/>
          <w:color w:val="000000"/>
          <w:kern w:val="0"/>
          <w:sz w:val="28"/>
          <w:szCs w:val="28"/>
          <w:lang w:val="en-US" w:eastAsia="en-US" w:bidi="ar-SA"/>
        </w:rPr>
      </w:sdtEndPr>
      <w:sdtContent>
        <w:p w14:paraId="1393A6C8">
          <w:pPr>
            <w:spacing w:before="0" w:beforeLines="0" w:after="0" w:afterLines="0" w:line="240" w:lineRule="auto"/>
            <w:ind w:left="0" w:leftChars="0" w:right="0" w:rightChars="0" w:firstLine="0" w:firstLineChars="0"/>
            <w:jc w:val="center"/>
            <w:rPr>
              <w:rFonts w:ascii="宋体" w:hAnsi="宋体" w:eastAsia="宋体" w:cs="Arial"/>
              <w:b/>
              <w:bCs/>
              <w:snapToGrid w:val="0"/>
              <w:color w:val="000000"/>
              <w:kern w:val="0"/>
              <w:sz w:val="28"/>
              <w:szCs w:val="28"/>
              <w:lang w:val="en-US" w:eastAsia="en-US" w:bidi="ar-SA"/>
            </w:rPr>
          </w:pPr>
        </w:p>
        <w:p w14:paraId="44D47074">
          <w:pPr>
            <w:spacing w:before="0" w:beforeLines="0" w:after="0" w:afterLines="0" w:line="240" w:lineRule="auto"/>
            <w:ind w:left="0" w:leftChars="0" w:right="0" w:rightChars="0" w:firstLine="0" w:firstLineChars="0"/>
            <w:jc w:val="center"/>
            <w:rPr>
              <w:rFonts w:ascii="宋体" w:hAnsi="宋体" w:eastAsia="宋体" w:cs="Arial"/>
              <w:b/>
              <w:bCs/>
              <w:snapToGrid w:val="0"/>
              <w:color w:val="000000"/>
              <w:kern w:val="0"/>
              <w:sz w:val="28"/>
              <w:szCs w:val="28"/>
              <w:lang w:val="en-US" w:eastAsia="en-US" w:bidi="ar-SA"/>
            </w:rPr>
          </w:pPr>
        </w:p>
        <w:p w14:paraId="5437D9A5">
          <w:pPr>
            <w:spacing w:before="0" w:beforeLines="0" w:after="0" w:afterLines="0" w:line="240" w:lineRule="auto"/>
            <w:ind w:left="0" w:leftChars="0" w:right="0" w:rightChars="0"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目</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录</w:t>
          </w:r>
        </w:p>
        <w:p w14:paraId="681D2FBE">
          <w:pPr>
            <w:pStyle w:val="6"/>
            <w:tabs>
              <w:tab w:val="right" w:leader="dot" w:pos="8306"/>
            </w:tabs>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"1-1" \h \u </w:instrText>
          </w:r>
          <w:r>
            <w:rPr>
              <w:rFonts w:hint="eastAsia" w:ascii="宋体" w:hAnsi="宋体" w:eastAsia="宋体" w:cs="宋体"/>
              <w:sz w:val="24"/>
              <w:szCs w:val="24"/>
            </w:rPr>
            <w:fldChar w:fldCharType="separate"/>
          </w:r>
        </w:p>
        <w:p w14:paraId="57BF3BA3">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_Toc441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rPr>
            <w:t>1.买方</w:t>
          </w:r>
          <w:r>
            <w:tab/>
          </w:r>
          <w:r>
            <w:fldChar w:fldCharType="begin"/>
          </w:r>
          <w:r>
            <w:instrText xml:space="preserve"> PAGEREF _Toc441 \h </w:instrText>
          </w:r>
          <w:r>
            <w:fldChar w:fldCharType="separate"/>
          </w:r>
          <w:r>
            <w:t>1</w:t>
          </w:r>
          <w:r>
            <w:fldChar w:fldCharType="end"/>
          </w:r>
          <w:r>
            <w:rPr>
              <w:rFonts w:hint="eastAsia" w:ascii="宋体" w:hAnsi="宋体" w:eastAsia="宋体" w:cs="宋体"/>
              <w:szCs w:val="24"/>
            </w:rPr>
            <w:fldChar w:fldCharType="end"/>
          </w:r>
        </w:p>
        <w:p w14:paraId="5A55CECB">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_Toc6607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rPr>
            <w:t xml:space="preserve">2.业主及工厂所在地 </w:t>
          </w:r>
          <w:r>
            <w:tab/>
          </w:r>
          <w:r>
            <w:fldChar w:fldCharType="begin"/>
          </w:r>
          <w:r>
            <w:instrText xml:space="preserve"> PAGEREF _Toc6607 \h </w:instrText>
          </w:r>
          <w:r>
            <w:fldChar w:fldCharType="separate"/>
          </w:r>
          <w:r>
            <w:t>1</w:t>
          </w:r>
          <w:r>
            <w:fldChar w:fldCharType="end"/>
          </w:r>
          <w:r>
            <w:rPr>
              <w:rFonts w:hint="eastAsia" w:ascii="宋体" w:hAnsi="宋体" w:eastAsia="宋体" w:cs="宋体"/>
              <w:szCs w:val="24"/>
            </w:rPr>
            <w:fldChar w:fldCharType="end"/>
          </w:r>
        </w:p>
        <w:p w14:paraId="09991020">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_Toc12267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rPr>
            <w:t>3.包含的设备</w:t>
          </w:r>
          <w:r>
            <w:tab/>
          </w:r>
          <w:r>
            <w:fldChar w:fldCharType="begin"/>
          </w:r>
          <w:r>
            <w:instrText xml:space="preserve"> PAGEREF _Toc12267 \h </w:instrText>
          </w:r>
          <w:r>
            <w:fldChar w:fldCharType="separate"/>
          </w:r>
          <w:r>
            <w:t>1</w:t>
          </w:r>
          <w:r>
            <w:fldChar w:fldCharType="end"/>
          </w:r>
          <w:r>
            <w:rPr>
              <w:rFonts w:hint="eastAsia" w:ascii="宋体" w:hAnsi="宋体" w:eastAsia="宋体" w:cs="宋体"/>
              <w:szCs w:val="24"/>
            </w:rPr>
            <w:fldChar w:fldCharType="end"/>
          </w:r>
        </w:p>
        <w:p w14:paraId="5D7A427D">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_Toc20399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rPr>
            <w:t>4.本技术协议所附文件</w:t>
          </w:r>
          <w:r>
            <w:tab/>
          </w:r>
          <w:r>
            <w:fldChar w:fldCharType="begin"/>
          </w:r>
          <w:r>
            <w:instrText xml:space="preserve"> PAGEREF _Toc20399 \h </w:instrText>
          </w:r>
          <w:r>
            <w:fldChar w:fldCharType="separate"/>
          </w:r>
          <w:r>
            <w:t>1</w:t>
          </w:r>
          <w:r>
            <w:fldChar w:fldCharType="end"/>
          </w:r>
          <w:r>
            <w:rPr>
              <w:rFonts w:hint="eastAsia" w:ascii="宋体" w:hAnsi="宋体" w:eastAsia="宋体" w:cs="宋体"/>
              <w:szCs w:val="24"/>
            </w:rPr>
            <w:fldChar w:fldCharType="end"/>
          </w:r>
        </w:p>
        <w:p w14:paraId="3A6DFFBA">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_Toc4747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rPr>
            <w:t>5.文件要求</w:t>
          </w:r>
          <w:r>
            <w:tab/>
          </w:r>
          <w:r>
            <w:fldChar w:fldCharType="begin"/>
          </w:r>
          <w:r>
            <w:instrText xml:space="preserve"> PAGEREF _Toc4747 \h </w:instrText>
          </w:r>
          <w:r>
            <w:fldChar w:fldCharType="separate"/>
          </w:r>
          <w:r>
            <w:t>2</w:t>
          </w:r>
          <w:r>
            <w:fldChar w:fldCharType="end"/>
          </w:r>
          <w:r>
            <w:rPr>
              <w:rFonts w:hint="eastAsia" w:ascii="宋体" w:hAnsi="宋体" w:eastAsia="宋体" w:cs="宋体"/>
              <w:szCs w:val="24"/>
            </w:rPr>
            <w:fldChar w:fldCharType="end"/>
          </w:r>
        </w:p>
        <w:p w14:paraId="0D82E784">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_Toc18987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lang w:val="en-US" w:eastAsia="zh-CN"/>
            </w:rPr>
            <w:t>6.规范和标准</w:t>
          </w:r>
          <w:r>
            <w:tab/>
          </w:r>
          <w:r>
            <w:fldChar w:fldCharType="begin"/>
          </w:r>
          <w:r>
            <w:instrText xml:space="preserve"> PAGEREF _Toc18987 \h </w:instrText>
          </w:r>
          <w:r>
            <w:fldChar w:fldCharType="separate"/>
          </w:r>
          <w:r>
            <w:t>2</w:t>
          </w:r>
          <w:r>
            <w:fldChar w:fldCharType="end"/>
          </w:r>
          <w:r>
            <w:rPr>
              <w:rFonts w:hint="eastAsia" w:ascii="宋体" w:hAnsi="宋体" w:eastAsia="宋体" w:cs="宋体"/>
              <w:szCs w:val="24"/>
            </w:rPr>
            <w:fldChar w:fldCharType="end"/>
          </w:r>
        </w:p>
        <w:p w14:paraId="4C3E6950">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_Toc11941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lang w:val="en-US" w:eastAsia="zh-CN"/>
            </w:rPr>
            <w:t>7.技术要求</w:t>
          </w:r>
          <w:r>
            <w:tab/>
          </w:r>
          <w:r>
            <w:fldChar w:fldCharType="begin"/>
          </w:r>
          <w:r>
            <w:instrText xml:space="preserve"> PAGEREF _Toc11941 \h </w:instrText>
          </w:r>
          <w:r>
            <w:fldChar w:fldCharType="separate"/>
          </w:r>
          <w:r>
            <w:t>4</w:t>
          </w:r>
          <w:r>
            <w:fldChar w:fldCharType="end"/>
          </w:r>
          <w:r>
            <w:rPr>
              <w:rFonts w:hint="eastAsia" w:ascii="宋体" w:hAnsi="宋体" w:eastAsia="宋体" w:cs="宋体"/>
              <w:szCs w:val="24"/>
            </w:rPr>
            <w:fldChar w:fldCharType="end"/>
          </w:r>
        </w:p>
        <w:p w14:paraId="314AA40A">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_Toc31577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lang w:val="en-US" w:eastAsia="zh-CN"/>
            </w:rPr>
            <w:t>8.制造和焊接</w:t>
          </w:r>
          <w:r>
            <w:tab/>
          </w:r>
          <w:r>
            <w:fldChar w:fldCharType="begin"/>
          </w:r>
          <w:r>
            <w:instrText xml:space="preserve"> PAGEREF _Toc31577 \h </w:instrText>
          </w:r>
          <w:r>
            <w:fldChar w:fldCharType="separate"/>
          </w:r>
          <w:r>
            <w:t>8</w:t>
          </w:r>
          <w:r>
            <w:fldChar w:fldCharType="end"/>
          </w:r>
          <w:r>
            <w:rPr>
              <w:rFonts w:hint="eastAsia" w:ascii="宋体" w:hAnsi="宋体" w:eastAsia="宋体" w:cs="宋体"/>
              <w:szCs w:val="24"/>
            </w:rPr>
            <w:fldChar w:fldCharType="end"/>
          </w:r>
        </w:p>
        <w:p w14:paraId="02DA2EDC">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_Toc4672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lang w:val="en-US" w:eastAsia="zh-CN"/>
            </w:rPr>
            <w:t>9.检验</w:t>
          </w:r>
          <w:r>
            <w:tab/>
          </w:r>
          <w:r>
            <w:fldChar w:fldCharType="begin"/>
          </w:r>
          <w:r>
            <w:instrText xml:space="preserve"> PAGEREF _Toc4672 \h </w:instrText>
          </w:r>
          <w:r>
            <w:fldChar w:fldCharType="separate"/>
          </w:r>
          <w:r>
            <w:t>10</w:t>
          </w:r>
          <w:r>
            <w:fldChar w:fldCharType="end"/>
          </w:r>
          <w:r>
            <w:rPr>
              <w:rFonts w:hint="eastAsia" w:ascii="宋体" w:hAnsi="宋体" w:eastAsia="宋体" w:cs="宋体"/>
              <w:szCs w:val="24"/>
            </w:rPr>
            <w:fldChar w:fldCharType="end"/>
          </w:r>
        </w:p>
        <w:p w14:paraId="461FA9D3">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_Toc21552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lang w:val="en-US" w:eastAsia="zh-CN"/>
            </w:rPr>
            <w:t>10.试验</w:t>
          </w:r>
          <w:r>
            <w:tab/>
          </w:r>
          <w:r>
            <w:fldChar w:fldCharType="begin"/>
          </w:r>
          <w:r>
            <w:instrText xml:space="preserve"> PAGEREF _Toc21552 \h </w:instrText>
          </w:r>
          <w:r>
            <w:fldChar w:fldCharType="separate"/>
          </w:r>
          <w:r>
            <w:t>12</w:t>
          </w:r>
          <w:r>
            <w:fldChar w:fldCharType="end"/>
          </w:r>
          <w:r>
            <w:rPr>
              <w:rFonts w:hint="eastAsia" w:ascii="宋体" w:hAnsi="宋体" w:eastAsia="宋体" w:cs="宋体"/>
              <w:szCs w:val="24"/>
            </w:rPr>
            <w:fldChar w:fldCharType="end"/>
          </w:r>
        </w:p>
        <w:p w14:paraId="6F73B9B4">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_Toc16738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lang w:val="en-US" w:eastAsia="zh-CN"/>
            </w:rPr>
            <w:t>11.铭牌</w:t>
          </w:r>
          <w:r>
            <w:tab/>
          </w:r>
          <w:r>
            <w:fldChar w:fldCharType="begin"/>
          </w:r>
          <w:r>
            <w:instrText xml:space="preserve"> PAGEREF _Toc16738 \h </w:instrText>
          </w:r>
          <w:r>
            <w:fldChar w:fldCharType="separate"/>
          </w:r>
          <w:r>
            <w:t>13</w:t>
          </w:r>
          <w:r>
            <w:fldChar w:fldCharType="end"/>
          </w:r>
          <w:r>
            <w:rPr>
              <w:rFonts w:hint="eastAsia" w:ascii="宋体" w:hAnsi="宋体" w:eastAsia="宋体" w:cs="宋体"/>
              <w:szCs w:val="24"/>
            </w:rPr>
            <w:fldChar w:fldCharType="end"/>
          </w:r>
        </w:p>
        <w:p w14:paraId="25BF6439">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_Toc19450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lang w:val="en-US" w:eastAsia="zh-CN"/>
            </w:rPr>
            <w:t>12</w:t>
          </w:r>
          <w:r>
            <w:rPr>
              <w:rFonts w:hint="eastAsia" w:asciiTheme="minorEastAsia" w:hAnsiTheme="minorEastAsia" w:eastAsiaTheme="minorEastAsia" w:cstheme="minorEastAsia"/>
              <w:szCs w:val="28"/>
              <w:lang w:eastAsia="zh-CN"/>
            </w:rPr>
            <w:t>.备件和特殊工具</w:t>
          </w:r>
          <w:r>
            <w:tab/>
          </w:r>
          <w:r>
            <w:fldChar w:fldCharType="begin"/>
          </w:r>
          <w:r>
            <w:instrText xml:space="preserve"> PAGEREF _Toc19450 \h </w:instrText>
          </w:r>
          <w:r>
            <w:fldChar w:fldCharType="separate"/>
          </w:r>
          <w:r>
            <w:t>13</w:t>
          </w:r>
          <w:r>
            <w:fldChar w:fldCharType="end"/>
          </w:r>
          <w:r>
            <w:rPr>
              <w:rFonts w:hint="eastAsia" w:ascii="宋体" w:hAnsi="宋体" w:eastAsia="宋体" w:cs="宋体"/>
              <w:szCs w:val="24"/>
            </w:rPr>
            <w:fldChar w:fldCharType="end"/>
          </w:r>
        </w:p>
        <w:p w14:paraId="15D1A47C">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_Toc13339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lang w:val="en-US" w:eastAsia="zh-CN"/>
            </w:rPr>
            <w:t>13.准备发货</w:t>
          </w:r>
          <w:r>
            <w:tab/>
          </w:r>
          <w:r>
            <w:fldChar w:fldCharType="begin"/>
          </w:r>
          <w:r>
            <w:instrText xml:space="preserve"> PAGEREF _Toc13339 \h </w:instrText>
          </w:r>
          <w:r>
            <w:fldChar w:fldCharType="separate"/>
          </w:r>
          <w:r>
            <w:t>13</w:t>
          </w:r>
          <w:r>
            <w:fldChar w:fldCharType="end"/>
          </w:r>
          <w:r>
            <w:rPr>
              <w:rFonts w:hint="eastAsia" w:ascii="宋体" w:hAnsi="宋体" w:eastAsia="宋体" w:cs="宋体"/>
              <w:szCs w:val="24"/>
            </w:rPr>
            <w:fldChar w:fldCharType="end"/>
          </w:r>
        </w:p>
        <w:p w14:paraId="068FA0B3">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_Toc10412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rPr>
            <w:t>1</w:t>
          </w:r>
          <w:r>
            <w:rPr>
              <w:rFonts w:hint="eastAsia" w:asciiTheme="minorEastAsia" w:hAnsiTheme="minorEastAsia" w:eastAsiaTheme="minorEastAsia" w:cstheme="minorEastAsia"/>
              <w:szCs w:val="28"/>
              <w:lang w:val="en-US" w:eastAsia="zh-CN"/>
            </w:rPr>
            <w:t>4</w:t>
          </w:r>
          <w:r>
            <w:rPr>
              <w:rFonts w:hint="eastAsia" w:asciiTheme="minorEastAsia" w:hAnsiTheme="minorEastAsia" w:eastAsiaTheme="minorEastAsia" w:cstheme="minorEastAsia"/>
              <w:szCs w:val="28"/>
            </w:rPr>
            <w:t>.售后服务</w:t>
          </w:r>
          <w:r>
            <w:tab/>
          </w:r>
          <w:r>
            <w:fldChar w:fldCharType="begin"/>
          </w:r>
          <w:r>
            <w:instrText xml:space="preserve"> PAGEREF _Toc10412 \h </w:instrText>
          </w:r>
          <w:r>
            <w:fldChar w:fldCharType="separate"/>
          </w:r>
          <w:r>
            <w:t>14</w:t>
          </w:r>
          <w:r>
            <w:fldChar w:fldCharType="end"/>
          </w:r>
          <w:r>
            <w:rPr>
              <w:rFonts w:hint="eastAsia" w:ascii="宋体" w:hAnsi="宋体" w:eastAsia="宋体" w:cs="宋体"/>
              <w:szCs w:val="24"/>
            </w:rPr>
            <w:fldChar w:fldCharType="end"/>
          </w:r>
        </w:p>
        <w:p w14:paraId="08AD872D">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_Toc13837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rPr>
            <w:t>1</w:t>
          </w:r>
          <w:r>
            <w:rPr>
              <w:rFonts w:hint="eastAsia" w:asciiTheme="minorEastAsia" w:hAnsiTheme="minorEastAsia" w:eastAsiaTheme="minorEastAsia" w:cstheme="minorEastAsia"/>
              <w:szCs w:val="28"/>
              <w:lang w:val="en-US" w:eastAsia="zh-CN"/>
            </w:rPr>
            <w:t>5</w:t>
          </w:r>
          <w:r>
            <w:rPr>
              <w:rFonts w:hint="eastAsia" w:asciiTheme="minorEastAsia" w:hAnsiTheme="minorEastAsia" w:eastAsiaTheme="minorEastAsia" w:cstheme="minorEastAsia"/>
              <w:szCs w:val="28"/>
            </w:rPr>
            <w:t>.卖方责任</w:t>
          </w:r>
          <w:r>
            <w:tab/>
          </w:r>
          <w:r>
            <w:fldChar w:fldCharType="begin"/>
          </w:r>
          <w:r>
            <w:instrText xml:space="preserve"> PAGEREF _Toc13837 \h </w:instrText>
          </w:r>
          <w:r>
            <w:fldChar w:fldCharType="separate"/>
          </w:r>
          <w:r>
            <w:t>14</w:t>
          </w:r>
          <w:r>
            <w:fldChar w:fldCharType="end"/>
          </w:r>
          <w:r>
            <w:rPr>
              <w:rFonts w:hint="eastAsia" w:ascii="宋体" w:hAnsi="宋体" w:eastAsia="宋体" w:cs="宋体"/>
              <w:szCs w:val="24"/>
            </w:rPr>
            <w:fldChar w:fldCharType="end"/>
          </w:r>
        </w:p>
        <w:p w14:paraId="11CDC56D">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_Toc14044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rPr>
            <w:t>1</w:t>
          </w:r>
          <w:r>
            <w:rPr>
              <w:rFonts w:hint="eastAsia" w:asciiTheme="minorEastAsia" w:hAnsiTheme="minorEastAsia" w:eastAsiaTheme="minorEastAsia" w:cstheme="minorEastAsia"/>
              <w:szCs w:val="28"/>
              <w:lang w:val="en-US" w:eastAsia="zh-CN"/>
            </w:rPr>
            <w:t>6</w:t>
          </w:r>
          <w:r>
            <w:rPr>
              <w:rFonts w:hint="eastAsia" w:asciiTheme="minorEastAsia" w:hAnsiTheme="minorEastAsia" w:eastAsiaTheme="minorEastAsia" w:cstheme="minorEastAsia"/>
              <w:szCs w:val="28"/>
            </w:rPr>
            <w:t>.技术协调会</w:t>
          </w:r>
          <w:r>
            <w:tab/>
          </w:r>
          <w:r>
            <w:fldChar w:fldCharType="begin"/>
          </w:r>
          <w:r>
            <w:instrText xml:space="preserve"> PAGEREF _Toc14044 \h </w:instrText>
          </w:r>
          <w:r>
            <w:fldChar w:fldCharType="separate"/>
          </w:r>
          <w:r>
            <w:t>14</w:t>
          </w:r>
          <w:r>
            <w:fldChar w:fldCharType="end"/>
          </w:r>
          <w:r>
            <w:rPr>
              <w:rFonts w:hint="eastAsia" w:ascii="宋体" w:hAnsi="宋体" w:eastAsia="宋体" w:cs="宋体"/>
              <w:szCs w:val="24"/>
            </w:rPr>
            <w:fldChar w:fldCharType="end"/>
          </w:r>
        </w:p>
        <w:p w14:paraId="5470A5D5">
          <w:pPr>
            <w:pStyle w:val="6"/>
            <w:tabs>
              <w:tab w:val="right" w:leader="dot" w:pos="8306"/>
            </w:tabs>
          </w:pPr>
          <w:r>
            <w:rPr>
              <w:rFonts w:hint="eastAsia" w:ascii="宋体" w:hAnsi="宋体" w:eastAsia="宋体" w:cs="宋体"/>
              <w:szCs w:val="24"/>
            </w:rPr>
            <w:fldChar w:fldCharType="begin"/>
          </w:r>
          <w:r>
            <w:rPr>
              <w:rFonts w:hint="eastAsia" w:ascii="宋体" w:hAnsi="宋体" w:eastAsia="宋体" w:cs="宋体"/>
              <w:szCs w:val="24"/>
            </w:rPr>
            <w:instrText xml:space="preserve"> HYPERLINK \l _Toc15115 </w:instrText>
          </w:r>
          <w:r>
            <w:rPr>
              <w:rFonts w:hint="eastAsia" w:ascii="宋体" w:hAnsi="宋体" w:eastAsia="宋体" w:cs="宋体"/>
              <w:szCs w:val="24"/>
            </w:rPr>
            <w:fldChar w:fldCharType="separate"/>
          </w:r>
          <w:r>
            <w:rPr>
              <w:rFonts w:hint="eastAsia" w:asciiTheme="minorEastAsia" w:hAnsiTheme="minorEastAsia" w:eastAsiaTheme="minorEastAsia" w:cstheme="minorEastAsia"/>
              <w:szCs w:val="28"/>
              <w:lang w:val="en-US" w:eastAsia="zh-CN"/>
            </w:rPr>
            <w:t>17.附件一</w:t>
          </w:r>
          <w:r>
            <w:tab/>
          </w:r>
          <w:r>
            <w:fldChar w:fldCharType="begin"/>
          </w:r>
          <w:r>
            <w:instrText xml:space="preserve"> PAGEREF _Toc15115 \h </w:instrText>
          </w:r>
          <w:r>
            <w:fldChar w:fldCharType="separate"/>
          </w:r>
          <w:r>
            <w:t>14</w:t>
          </w:r>
          <w:r>
            <w:fldChar w:fldCharType="end"/>
          </w:r>
          <w:r>
            <w:rPr>
              <w:rFonts w:hint="eastAsia" w:ascii="宋体" w:hAnsi="宋体" w:eastAsia="宋体" w:cs="宋体"/>
              <w:szCs w:val="24"/>
            </w:rPr>
            <w:fldChar w:fldCharType="end"/>
          </w:r>
        </w:p>
        <w:p w14:paraId="5F4D2A5E">
          <w:r>
            <w:rPr>
              <w:rFonts w:hint="eastAsia" w:ascii="宋体" w:hAnsi="宋体" w:eastAsia="宋体" w:cs="宋体"/>
              <w:szCs w:val="24"/>
            </w:rPr>
            <w:fldChar w:fldCharType="end"/>
          </w:r>
        </w:p>
      </w:sdtContent>
    </w:sdt>
    <w:p w14:paraId="5763AAC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rPr>
        <w:sectPr>
          <w:pgSz w:w="11906" w:h="16838"/>
          <w:pgMar w:top="1440" w:right="1800" w:bottom="1440" w:left="1800" w:header="851" w:footer="992" w:gutter="0"/>
          <w:cols w:space="425" w:num="1"/>
          <w:docGrid w:type="lines" w:linePitch="312" w:charSpace="0"/>
        </w:sectPr>
      </w:pPr>
    </w:p>
    <w:p w14:paraId="7D6EDFB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本技术协议经买方、卖方签字后作为设备和/或材料采购商务合同的 技术附件，随同商务合同具有同等的法律效力。</w:t>
      </w:r>
    </w:p>
    <w:p w14:paraId="37A7BA1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0"/>
        <w:rPr>
          <w:rFonts w:hint="eastAsia" w:asciiTheme="minorEastAsia" w:hAnsiTheme="minorEastAsia" w:eastAsiaTheme="minorEastAsia" w:cstheme="minorEastAsia"/>
          <w:sz w:val="28"/>
          <w:szCs w:val="28"/>
        </w:rPr>
      </w:pPr>
      <w:bookmarkStart w:id="1" w:name="_Toc441"/>
      <w:r>
        <w:rPr>
          <w:rStyle w:val="12"/>
          <w:rFonts w:hint="eastAsia" w:asciiTheme="minorEastAsia" w:hAnsiTheme="minorEastAsia" w:eastAsiaTheme="minorEastAsia" w:cstheme="minorEastAsia"/>
          <w:sz w:val="28"/>
          <w:szCs w:val="28"/>
        </w:rPr>
        <w:t>1.买方</w:t>
      </w:r>
      <w:r>
        <w:rPr>
          <w:rFonts w:hint="eastAsia" w:asciiTheme="minorEastAsia" w:hAnsiTheme="minorEastAsia" w:eastAsiaTheme="minorEastAsia" w:cstheme="minorEastAsia"/>
          <w:sz w:val="28"/>
          <w:szCs w:val="28"/>
        </w:rPr>
        <w:t xml:space="preserve">                福建省东南电化股份有限公司</w:t>
      </w:r>
      <w:bookmarkEnd w:id="1"/>
    </w:p>
    <w:p w14:paraId="0132C9F4">
      <w:pPr>
        <w:spacing w:line="360" w:lineRule="auto"/>
        <w:rPr>
          <w:rFonts w:hint="eastAsia" w:asciiTheme="minorEastAsia" w:hAnsiTheme="minorEastAsia" w:eastAsiaTheme="minorEastAsia" w:cstheme="minorEastAsia"/>
          <w:sz w:val="28"/>
          <w:szCs w:val="28"/>
        </w:rPr>
      </w:pPr>
      <w:bookmarkStart w:id="2" w:name="_Toc6607"/>
      <w:r>
        <w:rPr>
          <w:rStyle w:val="12"/>
          <w:rFonts w:hint="eastAsia" w:asciiTheme="minorEastAsia" w:hAnsiTheme="minorEastAsia" w:eastAsiaTheme="minorEastAsia" w:cstheme="minorEastAsia"/>
          <w:sz w:val="28"/>
          <w:szCs w:val="28"/>
        </w:rPr>
        <w:t>2.业主及工厂所在地</w:t>
      </w:r>
      <w:r>
        <w:rPr>
          <w:rStyle w:val="12"/>
          <w:rFonts w:hint="eastAsia" w:asciiTheme="minorEastAsia" w:hAnsiTheme="minorEastAsia" w:eastAsiaTheme="minorEastAsia" w:cstheme="minorEastAsia"/>
          <w:b/>
          <w:sz w:val="28"/>
          <w:szCs w:val="28"/>
        </w:rPr>
        <w:t xml:space="preserve"> </w:t>
      </w:r>
      <w:bookmarkEnd w:id="2"/>
      <w:r>
        <w:rPr>
          <w:rFonts w:hint="eastAsia" w:asciiTheme="minorEastAsia" w:hAnsiTheme="minorEastAsia" w:eastAsiaTheme="minorEastAsia" w:cstheme="minorEastAsia"/>
          <w:sz w:val="28"/>
          <w:szCs w:val="28"/>
        </w:rPr>
        <w:t xml:space="preserve">    福建省东南电化股份有限公司  福建省福清市江阴港城经济区</w:t>
      </w:r>
    </w:p>
    <w:p w14:paraId="3CFB7B04">
      <w:pPr>
        <w:spacing w:line="360" w:lineRule="auto"/>
        <w:rPr>
          <w:rStyle w:val="12"/>
          <w:rFonts w:hint="eastAsia" w:asciiTheme="minorEastAsia" w:hAnsiTheme="minorEastAsia" w:eastAsiaTheme="minorEastAsia" w:cstheme="minorEastAsia"/>
          <w:sz w:val="28"/>
          <w:szCs w:val="28"/>
        </w:rPr>
      </w:pPr>
      <w:bookmarkStart w:id="3" w:name="_Toc12267"/>
      <w:r>
        <w:rPr>
          <w:rStyle w:val="12"/>
          <w:rFonts w:hint="eastAsia" w:asciiTheme="minorEastAsia" w:hAnsiTheme="minorEastAsia" w:eastAsiaTheme="minorEastAsia" w:cstheme="minorEastAsia"/>
          <w:sz w:val="28"/>
          <w:szCs w:val="28"/>
        </w:rPr>
        <w:t>3.包含的设备</w:t>
      </w:r>
    </w:p>
    <w:bookmarkEnd w:id="3"/>
    <w:p w14:paraId="7796B435">
      <w:p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3.1</w:t>
      </w:r>
      <w:r>
        <w:rPr>
          <w:rFonts w:hint="eastAsia" w:asciiTheme="minorEastAsia" w:hAnsiTheme="minorEastAsia" w:eastAsiaTheme="minorEastAsia" w:cstheme="minorEastAsia"/>
          <w:sz w:val="28"/>
          <w:szCs w:val="28"/>
        </w:rPr>
        <w:t>本文件中所包含的设备见下表：</w:t>
      </w:r>
    </w:p>
    <w:tbl>
      <w:tblPr>
        <w:tblStyle w:val="8"/>
        <w:tblW w:w="9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256"/>
        <w:gridCol w:w="1698"/>
        <w:gridCol w:w="822"/>
        <w:gridCol w:w="1735"/>
        <w:gridCol w:w="1708"/>
        <w:gridCol w:w="1848"/>
      </w:tblGrid>
      <w:tr w14:paraId="6739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50" w:type="dxa"/>
            <w:shd w:val="clear" w:color="auto" w:fill="auto"/>
            <w:vAlign w:val="center"/>
          </w:tcPr>
          <w:p w14:paraId="3E659AA1">
            <w:pPr>
              <w:widowControl w:val="0"/>
              <w:spacing w:line="360" w:lineRule="auto"/>
              <w:jc w:val="center"/>
              <w:rPr>
                <w:rFonts w:hint="eastAsia" w:asciiTheme="minorEastAsia" w:hAnsiTheme="minorEastAsia" w:eastAsiaTheme="minorEastAsia" w:cstheme="minorEastAsia"/>
                <w:snapToGrid w:val="0"/>
                <w:color w:val="000000"/>
                <w:kern w:val="0"/>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序号</w:t>
            </w:r>
          </w:p>
        </w:tc>
        <w:tc>
          <w:tcPr>
            <w:tcW w:w="1256" w:type="dxa"/>
            <w:shd w:val="clear" w:color="auto" w:fill="auto"/>
            <w:vAlign w:val="center"/>
          </w:tcPr>
          <w:p w14:paraId="2D59D498">
            <w:pPr>
              <w:widowControl w:val="0"/>
              <w:spacing w:line="360" w:lineRule="auto"/>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位号</w:t>
            </w:r>
          </w:p>
        </w:tc>
        <w:tc>
          <w:tcPr>
            <w:tcW w:w="1698" w:type="dxa"/>
            <w:shd w:val="clear" w:color="auto" w:fill="auto"/>
            <w:vAlign w:val="center"/>
          </w:tcPr>
          <w:p w14:paraId="53092BC3">
            <w:pPr>
              <w:widowControl w:val="0"/>
              <w:spacing w:line="360" w:lineRule="auto"/>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设备名称</w:t>
            </w:r>
          </w:p>
        </w:tc>
        <w:tc>
          <w:tcPr>
            <w:tcW w:w="822" w:type="dxa"/>
            <w:shd w:val="clear" w:color="auto" w:fill="auto"/>
            <w:vAlign w:val="center"/>
          </w:tcPr>
          <w:p w14:paraId="7CBE1765">
            <w:pPr>
              <w:widowControl w:val="0"/>
              <w:spacing w:line="360" w:lineRule="auto"/>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数量</w:t>
            </w:r>
          </w:p>
        </w:tc>
        <w:tc>
          <w:tcPr>
            <w:tcW w:w="1735" w:type="dxa"/>
            <w:shd w:val="clear" w:color="auto" w:fill="auto"/>
            <w:vAlign w:val="center"/>
          </w:tcPr>
          <w:p w14:paraId="502E3D93">
            <w:pPr>
              <w:widowControl w:val="0"/>
              <w:spacing w:line="360" w:lineRule="auto"/>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直径×高度</w:t>
            </w:r>
          </w:p>
        </w:tc>
        <w:tc>
          <w:tcPr>
            <w:tcW w:w="1708" w:type="dxa"/>
            <w:shd w:val="clear" w:color="auto" w:fill="auto"/>
            <w:vAlign w:val="center"/>
          </w:tcPr>
          <w:p w14:paraId="10936EB9">
            <w:pPr>
              <w:widowControl w:val="0"/>
              <w:spacing w:line="360" w:lineRule="auto"/>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主要内容</w:t>
            </w:r>
          </w:p>
        </w:tc>
        <w:tc>
          <w:tcPr>
            <w:tcW w:w="1848" w:type="dxa"/>
            <w:shd w:val="clear" w:color="auto" w:fill="auto"/>
            <w:vAlign w:val="center"/>
          </w:tcPr>
          <w:p w14:paraId="2C92F93C">
            <w:pPr>
              <w:widowControl w:val="0"/>
              <w:spacing w:line="360" w:lineRule="auto"/>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所属项目</w:t>
            </w:r>
          </w:p>
        </w:tc>
      </w:tr>
      <w:tr w14:paraId="058F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50" w:type="dxa"/>
            <w:shd w:val="clear" w:color="auto" w:fill="auto"/>
            <w:vAlign w:val="center"/>
          </w:tcPr>
          <w:p w14:paraId="03070760">
            <w:pPr>
              <w:widowControl w:val="0"/>
              <w:spacing w:line="360" w:lineRule="auto"/>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w:t>
            </w:r>
          </w:p>
        </w:tc>
        <w:tc>
          <w:tcPr>
            <w:tcW w:w="1256" w:type="dxa"/>
            <w:shd w:val="clear" w:color="auto" w:fill="auto"/>
            <w:vAlign w:val="center"/>
          </w:tcPr>
          <w:p w14:paraId="346E77E3">
            <w:pPr>
              <w:widowControl w:val="0"/>
              <w:spacing w:line="360" w:lineRule="auto"/>
              <w:jc w:val="center"/>
              <w:rPr>
                <w:rFonts w:hint="default" w:asciiTheme="minorEastAsia" w:hAnsiTheme="minorEastAsia" w:eastAsiaTheme="minorEastAsia" w:cstheme="minorEastAsia"/>
                <w:sz w:val="28"/>
                <w:szCs w:val="28"/>
                <w:lang w:val="en-US" w:eastAsia="en-US"/>
              </w:rPr>
            </w:pPr>
            <w:r>
              <w:rPr>
                <w:rFonts w:hint="eastAsia" w:asciiTheme="minorEastAsia" w:hAnsiTheme="minorEastAsia" w:eastAsiaTheme="minorEastAsia" w:cstheme="minorEastAsia"/>
                <w:sz w:val="28"/>
                <w:szCs w:val="28"/>
                <w:lang w:val="en-US" w:eastAsia="zh-CN"/>
              </w:rPr>
              <w:t>21V1506</w:t>
            </w:r>
          </w:p>
        </w:tc>
        <w:tc>
          <w:tcPr>
            <w:tcW w:w="1698" w:type="dxa"/>
            <w:shd w:val="clear" w:color="auto" w:fill="auto"/>
            <w:vAlign w:val="center"/>
          </w:tcPr>
          <w:p w14:paraId="5AC5F1B3">
            <w:pPr>
              <w:widowControl w:val="0"/>
              <w:spacing w:line="360" w:lineRule="auto"/>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纯水储槽</w:t>
            </w:r>
          </w:p>
        </w:tc>
        <w:tc>
          <w:tcPr>
            <w:tcW w:w="822" w:type="dxa"/>
            <w:shd w:val="clear" w:color="auto" w:fill="auto"/>
            <w:vAlign w:val="center"/>
          </w:tcPr>
          <w:p w14:paraId="78A52537">
            <w:pPr>
              <w:widowControl w:val="0"/>
              <w:spacing w:line="360" w:lineRule="auto"/>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w:t>
            </w:r>
          </w:p>
        </w:tc>
        <w:tc>
          <w:tcPr>
            <w:tcW w:w="1735" w:type="dxa"/>
            <w:shd w:val="clear" w:color="auto" w:fill="auto"/>
            <w:vAlign w:val="center"/>
          </w:tcPr>
          <w:p w14:paraId="0ACD4262">
            <w:pPr>
              <w:widowControl w:val="0"/>
              <w:spacing w:line="360" w:lineRule="auto"/>
              <w:jc w:val="center"/>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val="en-US" w:eastAsia="zh-CN"/>
              </w:rPr>
              <w:t>9500ID×10500H</w:t>
            </w:r>
          </w:p>
        </w:tc>
        <w:tc>
          <w:tcPr>
            <w:tcW w:w="1708" w:type="dxa"/>
            <w:shd w:val="clear" w:color="auto" w:fill="auto"/>
            <w:vAlign w:val="center"/>
          </w:tcPr>
          <w:p w14:paraId="13CCC5DE">
            <w:pPr>
              <w:widowControl w:val="0"/>
              <w:spacing w:line="36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改造外钢体加强＋玻璃鳞片内衬</w:t>
            </w:r>
          </w:p>
        </w:tc>
        <w:tc>
          <w:tcPr>
            <w:tcW w:w="1848" w:type="dxa"/>
            <w:shd w:val="clear" w:color="auto" w:fill="auto"/>
            <w:vAlign w:val="center"/>
          </w:tcPr>
          <w:p w14:paraId="41089F4B">
            <w:pPr>
              <w:widowControl w:val="0"/>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一二期二次盐水系统扩能改造</w:t>
            </w:r>
          </w:p>
        </w:tc>
      </w:tr>
      <w:tr w14:paraId="59C8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50" w:type="dxa"/>
            <w:shd w:val="clear" w:color="auto" w:fill="auto"/>
            <w:vAlign w:val="center"/>
          </w:tcPr>
          <w:p w14:paraId="4A5171A5">
            <w:pPr>
              <w:widowControl w:val="0"/>
              <w:spacing w:line="360" w:lineRule="auto"/>
              <w:jc w:val="center"/>
              <w:rPr>
                <w:rFonts w:hint="eastAsia" w:asciiTheme="minorEastAsia" w:hAnsiTheme="minorEastAsia" w:eastAsiaTheme="minorEastAsia" w:cstheme="minorEastAsia"/>
                <w:snapToGrid w:val="0"/>
                <w:color w:val="000000"/>
                <w:kern w:val="0"/>
                <w:sz w:val="28"/>
                <w:szCs w:val="28"/>
                <w:lang w:val="en-US" w:eastAsia="zh-CN" w:bidi="ar-SA"/>
              </w:rPr>
            </w:pPr>
            <w:r>
              <w:rPr>
                <w:rFonts w:hint="eastAsia" w:asciiTheme="minorEastAsia" w:hAnsiTheme="minorEastAsia" w:eastAsiaTheme="minorEastAsia" w:cstheme="minorEastAsia"/>
                <w:sz w:val="28"/>
                <w:szCs w:val="28"/>
                <w:lang w:val="en-US" w:eastAsia="zh-CN"/>
              </w:rPr>
              <w:t>2</w:t>
            </w:r>
          </w:p>
        </w:tc>
        <w:tc>
          <w:tcPr>
            <w:tcW w:w="1256" w:type="dxa"/>
            <w:shd w:val="clear" w:color="auto" w:fill="auto"/>
            <w:vAlign w:val="center"/>
          </w:tcPr>
          <w:p w14:paraId="5010026D">
            <w:pPr>
              <w:widowControl w:val="0"/>
              <w:spacing w:line="360" w:lineRule="auto"/>
              <w:jc w:val="center"/>
              <w:rPr>
                <w:rFonts w:hint="eastAsia" w:asciiTheme="minorEastAsia" w:hAnsiTheme="minorEastAsia" w:eastAsiaTheme="minorEastAsia" w:cstheme="minorEastAsia"/>
                <w:snapToGrid w:val="0"/>
                <w:color w:val="000000"/>
                <w:kern w:val="0"/>
                <w:sz w:val="28"/>
                <w:szCs w:val="28"/>
                <w:lang w:val="en-US" w:eastAsia="zh-CN" w:bidi="ar-SA"/>
              </w:rPr>
            </w:pPr>
            <w:r>
              <w:rPr>
                <w:rFonts w:hint="eastAsia" w:asciiTheme="minorEastAsia" w:hAnsiTheme="minorEastAsia" w:eastAsiaTheme="minorEastAsia" w:cstheme="minorEastAsia"/>
                <w:sz w:val="28"/>
                <w:szCs w:val="28"/>
                <w:lang w:val="en-US" w:eastAsia="zh-CN"/>
              </w:rPr>
              <w:t>23V1502</w:t>
            </w:r>
          </w:p>
        </w:tc>
        <w:tc>
          <w:tcPr>
            <w:tcW w:w="1698" w:type="dxa"/>
            <w:shd w:val="clear" w:color="auto" w:fill="auto"/>
            <w:vAlign w:val="center"/>
          </w:tcPr>
          <w:p w14:paraId="468CD6B7">
            <w:pPr>
              <w:widowControl w:val="0"/>
              <w:spacing w:line="360" w:lineRule="auto"/>
              <w:jc w:val="center"/>
              <w:rPr>
                <w:rFonts w:hint="eastAsia" w:asciiTheme="minorEastAsia" w:hAnsiTheme="minorEastAsia" w:eastAsiaTheme="minorEastAsia" w:cstheme="minorEastAsia"/>
                <w:snapToGrid w:val="0"/>
                <w:color w:val="000000"/>
                <w:kern w:val="0"/>
                <w:sz w:val="28"/>
                <w:szCs w:val="28"/>
                <w:lang w:val="en-US" w:eastAsia="zh-CN" w:bidi="ar-SA"/>
              </w:rPr>
            </w:pPr>
            <w:r>
              <w:rPr>
                <w:rFonts w:hint="eastAsia" w:asciiTheme="minorEastAsia" w:hAnsiTheme="minorEastAsia" w:eastAsiaTheme="minorEastAsia" w:cstheme="minorEastAsia"/>
                <w:sz w:val="28"/>
                <w:szCs w:val="28"/>
                <w:lang w:val="en-US" w:eastAsia="zh-CN"/>
              </w:rPr>
              <w:t>酸性废水槽</w:t>
            </w:r>
          </w:p>
        </w:tc>
        <w:tc>
          <w:tcPr>
            <w:tcW w:w="822" w:type="dxa"/>
            <w:shd w:val="clear" w:color="auto" w:fill="auto"/>
            <w:vAlign w:val="center"/>
          </w:tcPr>
          <w:p w14:paraId="7B791ED4">
            <w:pPr>
              <w:widowControl w:val="0"/>
              <w:spacing w:line="360" w:lineRule="auto"/>
              <w:jc w:val="center"/>
              <w:rPr>
                <w:rFonts w:hint="eastAsia" w:asciiTheme="minorEastAsia" w:hAnsiTheme="minorEastAsia" w:eastAsiaTheme="minorEastAsia" w:cstheme="minorEastAsia"/>
                <w:snapToGrid w:val="0"/>
                <w:color w:val="000000"/>
                <w:kern w:val="0"/>
                <w:sz w:val="28"/>
                <w:szCs w:val="28"/>
                <w:lang w:val="en-US" w:eastAsia="zh-CN" w:bidi="ar-SA"/>
              </w:rPr>
            </w:pPr>
            <w:r>
              <w:rPr>
                <w:rFonts w:hint="eastAsia" w:asciiTheme="minorEastAsia" w:hAnsiTheme="minorEastAsia" w:eastAsiaTheme="minorEastAsia" w:cstheme="minorEastAsia"/>
                <w:sz w:val="28"/>
                <w:szCs w:val="28"/>
                <w:lang w:val="en-US" w:eastAsia="zh-CN"/>
              </w:rPr>
              <w:t>1</w:t>
            </w:r>
          </w:p>
        </w:tc>
        <w:tc>
          <w:tcPr>
            <w:tcW w:w="1735" w:type="dxa"/>
            <w:shd w:val="clear" w:color="auto" w:fill="auto"/>
            <w:vAlign w:val="center"/>
          </w:tcPr>
          <w:p w14:paraId="23BB8C5E">
            <w:pPr>
              <w:widowControl w:val="0"/>
              <w:spacing w:line="360" w:lineRule="auto"/>
              <w:jc w:val="center"/>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val="en-US" w:eastAsia="zh-CN"/>
              </w:rPr>
              <w:t>6500ID×7000H</w:t>
            </w:r>
          </w:p>
        </w:tc>
        <w:tc>
          <w:tcPr>
            <w:tcW w:w="1708" w:type="dxa"/>
            <w:shd w:val="clear" w:color="auto" w:fill="auto"/>
            <w:vAlign w:val="center"/>
          </w:tcPr>
          <w:p w14:paraId="0032AA9E">
            <w:pPr>
              <w:widowControl w:val="0"/>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钢制作+玻璃鳞片内衬</w:t>
            </w:r>
          </w:p>
        </w:tc>
        <w:tc>
          <w:tcPr>
            <w:tcW w:w="1848" w:type="dxa"/>
            <w:shd w:val="clear" w:color="auto" w:fill="auto"/>
            <w:vAlign w:val="center"/>
          </w:tcPr>
          <w:p w14:paraId="59642DF7">
            <w:pPr>
              <w:widowControl w:val="0"/>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一二期二次盐水系统扩能改造</w:t>
            </w:r>
          </w:p>
        </w:tc>
      </w:tr>
      <w:tr w14:paraId="2B79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50" w:type="dxa"/>
            <w:shd w:val="clear" w:color="auto" w:fill="auto"/>
            <w:vAlign w:val="center"/>
          </w:tcPr>
          <w:p w14:paraId="0B8CE068">
            <w:pPr>
              <w:widowControl w:val="0"/>
              <w:spacing w:line="360" w:lineRule="auto"/>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w:t>
            </w:r>
          </w:p>
        </w:tc>
        <w:tc>
          <w:tcPr>
            <w:tcW w:w="1256" w:type="dxa"/>
            <w:shd w:val="clear" w:color="auto" w:fill="auto"/>
            <w:vAlign w:val="center"/>
          </w:tcPr>
          <w:p w14:paraId="1D54291A">
            <w:pPr>
              <w:widowControl w:val="0"/>
              <w:spacing w:line="360" w:lineRule="auto"/>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V09601</w:t>
            </w:r>
          </w:p>
        </w:tc>
        <w:tc>
          <w:tcPr>
            <w:tcW w:w="1698" w:type="dxa"/>
            <w:shd w:val="clear" w:color="auto" w:fill="auto"/>
            <w:vAlign w:val="center"/>
          </w:tcPr>
          <w:p w14:paraId="24ECCFE1">
            <w:pPr>
              <w:widowControl w:val="0"/>
              <w:spacing w:line="360" w:lineRule="auto"/>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高盐废水槽</w:t>
            </w:r>
          </w:p>
        </w:tc>
        <w:tc>
          <w:tcPr>
            <w:tcW w:w="822" w:type="dxa"/>
            <w:shd w:val="clear" w:color="auto" w:fill="auto"/>
            <w:vAlign w:val="center"/>
          </w:tcPr>
          <w:p w14:paraId="5DAEE049">
            <w:pPr>
              <w:widowControl w:val="0"/>
              <w:spacing w:line="360" w:lineRule="auto"/>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w:t>
            </w:r>
          </w:p>
        </w:tc>
        <w:tc>
          <w:tcPr>
            <w:tcW w:w="1735" w:type="dxa"/>
            <w:shd w:val="clear" w:color="auto" w:fill="auto"/>
            <w:vAlign w:val="center"/>
          </w:tcPr>
          <w:p w14:paraId="49C31B56">
            <w:pPr>
              <w:widowControl w:val="0"/>
              <w:spacing w:line="360" w:lineRule="auto"/>
              <w:jc w:val="center"/>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val="en-US" w:eastAsia="zh-CN"/>
              </w:rPr>
              <w:t>6600ID×6000H</w:t>
            </w:r>
          </w:p>
        </w:tc>
        <w:tc>
          <w:tcPr>
            <w:tcW w:w="1708" w:type="dxa"/>
            <w:shd w:val="clear" w:color="auto" w:fill="auto"/>
            <w:vAlign w:val="center"/>
          </w:tcPr>
          <w:p w14:paraId="01266BEE">
            <w:pPr>
              <w:widowControl w:val="0"/>
              <w:spacing w:line="360" w:lineRule="auto"/>
              <w:jc w:val="center"/>
              <w:rPr>
                <w:rFonts w:hint="eastAsia" w:ascii="宋体" w:hAnsi="宋体" w:eastAsia="宋体" w:cs="宋体"/>
                <w:sz w:val="28"/>
                <w:szCs w:val="28"/>
                <w:lang w:val="en-US" w:eastAsia="zh-CN"/>
              </w:rPr>
            </w:pPr>
            <w:r>
              <w:rPr>
                <w:rFonts w:hint="eastAsia" w:asciiTheme="minorEastAsia" w:hAnsiTheme="minorEastAsia" w:eastAsiaTheme="minorEastAsia" w:cstheme="minorEastAsia"/>
                <w:sz w:val="21"/>
                <w:szCs w:val="21"/>
                <w:lang w:val="en-US" w:eastAsia="zh-CN"/>
              </w:rPr>
              <w:t>钢制作+玻璃鳞片内衬</w:t>
            </w:r>
          </w:p>
        </w:tc>
        <w:tc>
          <w:tcPr>
            <w:tcW w:w="1848" w:type="dxa"/>
            <w:shd w:val="clear" w:color="auto" w:fill="auto"/>
            <w:vAlign w:val="center"/>
          </w:tcPr>
          <w:p w14:paraId="48190A6F">
            <w:pPr>
              <w:widowControl w:val="0"/>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高盐废水槽移位改造和送万华盐水移位改造项目设计</w:t>
            </w:r>
          </w:p>
        </w:tc>
      </w:tr>
      <w:tr w14:paraId="7DAD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917" w:type="dxa"/>
            <w:gridSpan w:val="7"/>
            <w:shd w:val="clear" w:color="auto" w:fill="auto"/>
            <w:vAlign w:val="center"/>
          </w:tcPr>
          <w:p w14:paraId="7E5A4879">
            <w:pPr>
              <w:widowControl w:val="0"/>
              <w:spacing w:line="36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介质：酸，碱，盐水</w:t>
            </w:r>
          </w:p>
        </w:tc>
      </w:tr>
    </w:tbl>
    <w:p w14:paraId="47FDDF26">
      <w:pPr>
        <w:spacing w:line="360" w:lineRule="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注：1、表中信息均应以双方确认的设备图纸为准；</w:t>
      </w:r>
    </w:p>
    <w:p w14:paraId="52AF69E1">
      <w:pPr>
        <w:numPr>
          <w:ilvl w:val="0"/>
          <w:numId w:val="1"/>
        </w:numPr>
        <w:spacing w:line="360" w:lineRule="auto"/>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包含21V1506纯水储槽改造（原材质为不锈钢，现进行钢体加强加内衬玻璃鳞片槽），以及23V1502酸性废水槽，V09601高盐废水槽两个新槽制作（制作钢体加内衬玻璃鳞片）</w:t>
      </w:r>
      <w:bookmarkStart w:id="19" w:name="_GoBack"/>
      <w:bookmarkEnd w:id="19"/>
      <w:r>
        <w:rPr>
          <w:rFonts w:hint="eastAsia" w:asciiTheme="minorEastAsia" w:hAnsiTheme="minorEastAsia" w:eastAsiaTheme="minorEastAsia" w:cstheme="minorEastAsia"/>
          <w:sz w:val="28"/>
          <w:szCs w:val="28"/>
          <w:lang w:val="en-US" w:eastAsia="zh-CN"/>
        </w:rPr>
        <w:t>；</w:t>
      </w:r>
    </w:p>
    <w:p w14:paraId="5EEFD5EA">
      <w:pPr>
        <w:numPr>
          <w:ilvl w:val="0"/>
          <w:numId w:val="1"/>
        </w:numPr>
        <w:spacing w:line="360" w:lineRule="auto"/>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罐体材质为Q235B。</w:t>
      </w:r>
    </w:p>
    <w:p w14:paraId="4B46732A">
      <w:pPr>
        <w:numPr>
          <w:ilvl w:val="0"/>
          <w:numId w:val="1"/>
        </w:numPr>
        <w:spacing w:line="360" w:lineRule="auto"/>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以下附件为21V1506纯水储槽以及23V1502酸性废水槽的图纸。</w:t>
      </w:r>
    </w:p>
    <w:p w14:paraId="09A1BE4D">
      <w:pPr>
        <w:numPr>
          <w:ilvl w:val="0"/>
          <w:numId w:val="0"/>
        </w:numPr>
        <w:spacing w:line="360" w:lineRule="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object>
          <v:shape id="_x0000_i1025" o:spt="75" type="#_x0000_t75" style="height:65.4pt;width:72.6pt;" o:ole="t" filled="f" o:preferrelative="t" stroked="f" coordsize="21600,21600">
            <v:path/>
            <v:fill on="f" focussize="0,0"/>
            <v:stroke on="f"/>
            <v:imagedata r:id="rId8" o:title=""/>
            <o:lock v:ext="edit" aspectratio="t"/>
            <w10:wrap type="none"/>
            <w10:anchorlock/>
          </v:shape>
          <o:OLEObject Type="Embed" ProgID="Package" ShapeID="_x0000_i1025" DrawAspect="Icon" ObjectID="_1468075725" r:id="rId7">
            <o:LockedField>false</o:LockedField>
          </o:OLEObject>
        </w:object>
      </w:r>
      <w:r>
        <w:rPr>
          <w:rFonts w:hint="eastAsia" w:asciiTheme="minorEastAsia" w:hAnsiTheme="minorEastAsia" w:eastAsiaTheme="minorEastAsia" w:cstheme="minorEastAsia"/>
          <w:sz w:val="28"/>
          <w:szCs w:val="28"/>
          <w:lang w:val="en-US" w:eastAsia="zh-CN"/>
        </w:rPr>
        <w:object>
          <v:shape id="_x0000_i1026" o:spt="75" type="#_x0000_t75" style="height:65.4pt;width:72.6pt;" o:ole="t" filled="f" o:preferrelative="t" stroked="f" coordsize="21600,21600">
            <v:path/>
            <v:fill on="f" focussize="0,0"/>
            <v:stroke on="f"/>
            <v:imagedata r:id="rId10" o:title=""/>
            <o:lock v:ext="edit" aspectratio="t"/>
            <w10:wrap type="none"/>
            <w10:anchorlock/>
          </v:shape>
          <o:OLEObject Type="Embed" ProgID="Package" ShapeID="_x0000_i1026" DrawAspect="Icon" ObjectID="_1468075726" r:id="rId9">
            <o:LockedField>false</o:LockedField>
          </o:OLEObject>
        </w:object>
      </w:r>
    </w:p>
    <w:p w14:paraId="7B8DFA3E">
      <w:pPr>
        <w:numPr>
          <w:ilvl w:val="0"/>
          <w:numId w:val="0"/>
        </w:num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3.2</w:t>
      </w:r>
      <w:r>
        <w:rPr>
          <w:rFonts w:hint="eastAsia" w:asciiTheme="minorEastAsia" w:hAnsiTheme="minorEastAsia" w:eastAsiaTheme="minorEastAsia" w:cstheme="minorEastAsia"/>
          <w:sz w:val="28"/>
          <w:szCs w:val="28"/>
        </w:rPr>
        <w:t>工期计划</w:t>
      </w:r>
    </w:p>
    <w:p w14:paraId="19A026DE">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本工程计划于：202</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20日前施工完毕</w:t>
      </w:r>
      <w:r>
        <w:rPr>
          <w:rFonts w:hint="eastAsia" w:asciiTheme="minorEastAsia" w:hAnsiTheme="minorEastAsia" w:eastAsiaTheme="minorEastAsia" w:cstheme="minorEastAsia"/>
          <w:sz w:val="28"/>
          <w:szCs w:val="28"/>
        </w:rPr>
        <w:t>。</w:t>
      </w:r>
    </w:p>
    <w:p w14:paraId="539D0CEC">
      <w:pPr>
        <w:spacing w:line="360" w:lineRule="auto"/>
        <w:rPr>
          <w:rStyle w:val="12"/>
          <w:rFonts w:hint="eastAsia" w:asciiTheme="minorEastAsia" w:hAnsiTheme="minorEastAsia" w:eastAsiaTheme="minorEastAsia" w:cstheme="minorEastAsia"/>
          <w:sz w:val="28"/>
          <w:szCs w:val="28"/>
        </w:rPr>
      </w:pPr>
      <w:bookmarkStart w:id="4" w:name="_Toc20399"/>
      <w:r>
        <w:rPr>
          <w:rStyle w:val="12"/>
          <w:rFonts w:hint="eastAsia" w:asciiTheme="minorEastAsia" w:hAnsiTheme="minorEastAsia" w:eastAsiaTheme="minorEastAsia" w:cstheme="minorEastAsia"/>
          <w:sz w:val="28"/>
          <w:szCs w:val="28"/>
        </w:rPr>
        <w:t>4.  本技术协议所附文件</w:t>
      </w:r>
    </w:p>
    <w:bookmarkEnd w:id="4"/>
    <w:p w14:paraId="743BF3DD">
      <w:p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附件中的工程规定和文件是本技术协议的一部分，卖方应严格执行所附文件</w:t>
      </w:r>
    </w:p>
    <w:p w14:paraId="6770886E">
      <w:pPr>
        <w:spacing w:line="360" w:lineRule="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附件</w:t>
      </w:r>
      <w:r>
        <w:rPr>
          <w:rFonts w:hint="eastAsia" w:asciiTheme="minorEastAsia" w:hAnsiTheme="minorEastAsia" w:eastAsiaTheme="minorEastAsia" w:cstheme="minorEastAsia"/>
          <w:sz w:val="28"/>
          <w:szCs w:val="28"/>
          <w:lang w:val="en-US" w:eastAsia="zh-CN"/>
        </w:rPr>
        <w:t>1  玻璃鳞片施工要求</w:t>
      </w:r>
    </w:p>
    <w:p w14:paraId="6B519456">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附件2</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涂漆涂色工程规定</w:t>
      </w:r>
    </w:p>
    <w:p w14:paraId="3B9DA3E5">
      <w:pPr>
        <w:spacing w:line="360" w:lineRule="auto"/>
        <w:rPr>
          <w:rStyle w:val="12"/>
          <w:rFonts w:hint="eastAsia" w:asciiTheme="minorEastAsia" w:hAnsiTheme="minorEastAsia" w:eastAsiaTheme="minorEastAsia" w:cstheme="minorEastAsia"/>
          <w:sz w:val="28"/>
          <w:szCs w:val="28"/>
        </w:rPr>
      </w:pPr>
      <w:bookmarkStart w:id="5" w:name="_Toc4747"/>
      <w:r>
        <w:rPr>
          <w:rStyle w:val="12"/>
          <w:rFonts w:hint="eastAsia" w:asciiTheme="minorEastAsia" w:hAnsiTheme="minorEastAsia" w:eastAsiaTheme="minorEastAsia" w:cstheme="minorEastAsia"/>
          <w:sz w:val="28"/>
          <w:szCs w:val="28"/>
        </w:rPr>
        <w:t>5.  文件要求</w:t>
      </w:r>
    </w:p>
    <w:bookmarkEnd w:id="5"/>
    <w:p w14:paraId="5FC3ED63">
      <w:p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 1  所有的文件和图纸都至少应注明业主的名称、项目号、买方名称、买方图纸编号、设备位号和设备名称。</w:t>
      </w:r>
    </w:p>
    <w:p w14:paraId="7791880D">
      <w:p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5.2 卖方交付的过程供审查文件及最终批准后的文件为 PDF 格式。</w:t>
      </w:r>
    </w:p>
    <w:p w14:paraId="3C8888AF">
      <w:p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5.3  卖方提供的最终文件至少应包含下列内容： </w:t>
      </w:r>
    </w:p>
    <w:p w14:paraId="62F7B8DF">
      <w:pPr>
        <w:spacing w:line="360" w:lineRule="auto"/>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卖方提供的文件内容按照规定，最终文件至少应包含下列内容：</w:t>
      </w:r>
    </w:p>
    <w:p w14:paraId="0CA0F0C9">
      <w:pPr>
        <w:spacing w:line="360" w:lineRule="auto"/>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全套设备竣工图(不含标准图)(纸质版及扫描电子版);</w:t>
      </w:r>
    </w:p>
    <w:p w14:paraId="798B7034">
      <w:pPr>
        <w:spacing w:line="360" w:lineRule="auto"/>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产品合格证书；</w:t>
      </w:r>
    </w:p>
    <w:p w14:paraId="1964F4D1">
      <w:pPr>
        <w:spacing w:line="360" w:lineRule="auto"/>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产品质量证明文件；</w:t>
      </w:r>
    </w:p>
    <w:p w14:paraId="5A85FE7F">
      <w:pPr>
        <w:spacing w:line="360" w:lineRule="auto"/>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供货消单(含备品备件、材料清单)；</w:t>
      </w:r>
    </w:p>
    <w:p w14:paraId="124FCCBE">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装箱清单等。</w:t>
      </w:r>
    </w:p>
    <w:p w14:paraId="11416B0C">
      <w:pPr>
        <w:spacing w:line="360" w:lineRule="auto"/>
        <w:rPr>
          <w:rStyle w:val="12"/>
          <w:rFonts w:hint="eastAsia" w:asciiTheme="minorEastAsia" w:hAnsiTheme="minorEastAsia" w:eastAsiaTheme="minorEastAsia" w:cstheme="minorEastAsia"/>
          <w:sz w:val="28"/>
          <w:szCs w:val="28"/>
          <w:lang w:val="en-US" w:eastAsia="zh-CN"/>
        </w:rPr>
      </w:pPr>
      <w:bookmarkStart w:id="6" w:name="_Toc18987"/>
      <w:r>
        <w:rPr>
          <w:rStyle w:val="12"/>
          <w:rFonts w:hint="eastAsia" w:asciiTheme="minorEastAsia" w:hAnsiTheme="minorEastAsia" w:eastAsiaTheme="minorEastAsia" w:cstheme="minorEastAsia"/>
          <w:sz w:val="28"/>
          <w:szCs w:val="28"/>
          <w:lang w:val="en-US" w:eastAsia="zh-CN"/>
        </w:rPr>
        <w:t>6.规范和标准</w:t>
      </w:r>
    </w:p>
    <w:bookmarkEnd w:id="6"/>
    <w:p w14:paraId="4F07145C">
      <w:pPr>
        <w:spacing w:line="360" w:lineRule="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6.1 容器应按东南电化的数据单或工程图中所规定的标准规范进行设计和制造，本项目中采用的标准规范的版本应是在合同生效之日起的最新版。</w:t>
      </w:r>
    </w:p>
    <w:p w14:paraId="546723DC">
      <w:pPr>
        <w:spacing w:line="360" w:lineRule="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6.2 供货厂商负责容器所有承压和结构部件的设计计算，负责保证设备设计能够承担所有的内外载荷，负责满足设计、制造、试验和验证标准规范的要求。</w:t>
      </w:r>
    </w:p>
    <w:p w14:paraId="5E662122">
      <w:pPr>
        <w:spacing w:line="360" w:lineRule="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6.3 除非在工程图上有规定，碳钢和低合金钢材料制承压部件的最小腐蚀裕量为1.5mm。衬里侧不考虑腐蚀裕量。</w:t>
      </w:r>
    </w:p>
    <w:p w14:paraId="03DFC4B5">
      <w:pPr>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6.4 采用的标准和规范</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7"/>
        <w:gridCol w:w="2736"/>
        <w:gridCol w:w="5279"/>
      </w:tblGrid>
      <w:tr w14:paraId="2B772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796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序号</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3A1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标准号</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834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名称</w:t>
            </w:r>
          </w:p>
        </w:tc>
      </w:tr>
      <w:tr w14:paraId="55C26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B18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785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TSG 21-2016</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B2F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《固定式压力容器安全技术监察规程》（含 1 号修改单）</w:t>
            </w:r>
          </w:p>
        </w:tc>
      </w:tr>
      <w:tr w14:paraId="69E54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E57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C30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GB/T 150-2011</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BD0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《压力容器》</w:t>
            </w:r>
          </w:p>
        </w:tc>
      </w:tr>
      <w:tr w14:paraId="10631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024A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EC1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GB/T 12459-2017</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3AF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《钢制对焊管件 类型与参数》</w:t>
            </w:r>
          </w:p>
        </w:tc>
      </w:tr>
      <w:tr w14:paraId="0C993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A5F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9C33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GB/T 25198-2010</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782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《压力容器封头》</w:t>
            </w:r>
          </w:p>
        </w:tc>
      </w:tr>
      <w:tr w14:paraId="0B330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7DBD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2E77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 47008-2017</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BC6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《承压设备用碳素钢和合金钢锻件》</w:t>
            </w:r>
          </w:p>
        </w:tc>
      </w:tr>
      <w:tr w14:paraId="20984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A38E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F75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NB/T47010-2017</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06D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《承压设备用不锈钢和耐热钢锻件》</w:t>
            </w:r>
          </w:p>
        </w:tc>
      </w:tr>
      <w:tr w14:paraId="72074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3BB9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44C8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 47014-2011</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D95E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《承压设备焊接工艺评定》</w:t>
            </w:r>
          </w:p>
        </w:tc>
      </w:tr>
      <w:tr w14:paraId="527E5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222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CC6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 47016-2011</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862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《承压设备产品焊接试件的力学性能检验》</w:t>
            </w:r>
          </w:p>
        </w:tc>
      </w:tr>
      <w:tr w14:paraId="65A24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91DE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C6E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 47018.1</w:t>
            </w:r>
            <w:r>
              <w:rPr>
                <w:rFonts w:hint="eastAsia" w:ascii="Arial" w:hAnsi="Arial" w:eastAsia="宋体" w:cs="Arial"/>
                <w:i w:val="0"/>
                <w:iCs w:val="0"/>
                <w:snapToGrid w:val="0"/>
                <w:color w:val="000000"/>
                <w:kern w:val="0"/>
                <w:sz w:val="22"/>
                <w:szCs w:val="22"/>
                <w:u w:val="none"/>
                <w:lang w:val="en-US" w:eastAsia="zh-CN" w:bidi="ar"/>
              </w:rPr>
              <w:t>～</w:t>
            </w:r>
            <w:r>
              <w:rPr>
                <w:rFonts w:hint="default" w:ascii="Arial" w:hAnsi="Arial" w:eastAsia="宋体" w:cs="Arial"/>
                <w:i w:val="0"/>
                <w:iCs w:val="0"/>
                <w:snapToGrid w:val="0"/>
                <w:color w:val="000000"/>
                <w:kern w:val="0"/>
                <w:sz w:val="22"/>
                <w:szCs w:val="22"/>
                <w:u w:val="none"/>
                <w:lang w:val="en-US" w:eastAsia="zh-CN" w:bidi="ar"/>
              </w:rPr>
              <w:t>47018.7</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F7E2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《承压设备用焊接材料订货技术条件》</w:t>
            </w:r>
          </w:p>
        </w:tc>
      </w:tr>
      <w:tr w14:paraId="65DDF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698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8275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 47003.1-2009</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826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《钢制焊接常压容器》</w:t>
            </w:r>
          </w:p>
        </w:tc>
      </w:tr>
      <w:tr w14:paraId="6162C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7A0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9A3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 47041-2014</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19BB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《塔式容器》</w:t>
            </w:r>
          </w:p>
        </w:tc>
      </w:tr>
      <w:tr w14:paraId="72A58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BF87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63C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 47042-2014</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345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《卧式容器》</w:t>
            </w:r>
          </w:p>
        </w:tc>
      </w:tr>
      <w:tr w14:paraId="74068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B49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07F4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JB/T 4736-2002</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02D9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《补强圈》</w:t>
            </w:r>
          </w:p>
        </w:tc>
      </w:tr>
      <w:tr w14:paraId="43951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B48E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B96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 10558-2021</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738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《压力容器涂敷与运输包装》</w:t>
            </w:r>
          </w:p>
        </w:tc>
      </w:tr>
      <w:tr w14:paraId="6E756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1EE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070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 47013.1</w:t>
            </w:r>
            <w:r>
              <w:rPr>
                <w:rFonts w:hint="eastAsia" w:ascii="Arial" w:hAnsi="Arial" w:eastAsia="宋体" w:cs="Arial"/>
                <w:i w:val="0"/>
                <w:iCs w:val="0"/>
                <w:snapToGrid w:val="0"/>
                <w:color w:val="000000"/>
                <w:kern w:val="0"/>
                <w:sz w:val="22"/>
                <w:szCs w:val="22"/>
                <w:u w:val="none"/>
                <w:lang w:val="en-US" w:eastAsia="zh-CN" w:bidi="ar"/>
              </w:rPr>
              <w:t>～</w:t>
            </w:r>
            <w:r>
              <w:rPr>
                <w:rFonts w:hint="default" w:ascii="Arial" w:hAnsi="Arial" w:eastAsia="宋体" w:cs="Arial"/>
                <w:i w:val="0"/>
                <w:iCs w:val="0"/>
                <w:snapToGrid w:val="0"/>
                <w:color w:val="000000"/>
                <w:kern w:val="0"/>
                <w:sz w:val="22"/>
                <w:szCs w:val="22"/>
                <w:u w:val="none"/>
                <w:lang w:val="en-US" w:eastAsia="zh-CN" w:bidi="ar"/>
              </w:rPr>
              <w:t>47013.13</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485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《承压设备无损检测》</w:t>
            </w:r>
          </w:p>
        </w:tc>
      </w:tr>
      <w:tr w14:paraId="0C3D4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922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F39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 47065.1</w:t>
            </w:r>
            <w:r>
              <w:rPr>
                <w:rFonts w:hint="eastAsia" w:ascii="Arial" w:hAnsi="Arial" w:eastAsia="宋体" w:cs="Arial"/>
                <w:i w:val="0"/>
                <w:iCs w:val="0"/>
                <w:snapToGrid w:val="0"/>
                <w:color w:val="000000"/>
                <w:kern w:val="0"/>
                <w:sz w:val="22"/>
                <w:szCs w:val="22"/>
                <w:u w:val="none"/>
                <w:lang w:val="en-US" w:eastAsia="zh-CN" w:bidi="ar"/>
              </w:rPr>
              <w:t>～</w:t>
            </w:r>
            <w:r>
              <w:rPr>
                <w:rFonts w:hint="default" w:ascii="Arial" w:hAnsi="Arial" w:eastAsia="宋体" w:cs="Arial"/>
                <w:i w:val="0"/>
                <w:iCs w:val="0"/>
                <w:snapToGrid w:val="0"/>
                <w:color w:val="000000"/>
                <w:kern w:val="0"/>
                <w:sz w:val="22"/>
                <w:szCs w:val="22"/>
                <w:u w:val="none"/>
                <w:lang w:val="en-US" w:eastAsia="zh-CN" w:bidi="ar"/>
              </w:rPr>
              <w:t>47065.5-2018</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6A3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《容器支座》</w:t>
            </w:r>
          </w:p>
        </w:tc>
      </w:tr>
      <w:tr w14:paraId="671F3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8204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789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NB/T 47020</w:t>
            </w:r>
            <w:r>
              <w:rPr>
                <w:rFonts w:hint="eastAsia" w:ascii="Arial" w:hAnsi="Arial" w:eastAsia="宋体" w:cs="Arial"/>
                <w:i w:val="0"/>
                <w:iCs w:val="0"/>
                <w:snapToGrid w:val="0"/>
                <w:color w:val="000000"/>
                <w:kern w:val="0"/>
                <w:sz w:val="22"/>
                <w:szCs w:val="22"/>
                <w:u w:val="none"/>
                <w:lang w:val="en-US" w:eastAsia="zh-CN" w:bidi="ar"/>
              </w:rPr>
              <w:t>～</w:t>
            </w:r>
            <w:r>
              <w:rPr>
                <w:rFonts w:hint="default" w:ascii="Arial" w:hAnsi="Arial" w:eastAsia="宋体" w:cs="Arial"/>
                <w:i w:val="0"/>
                <w:iCs w:val="0"/>
                <w:snapToGrid w:val="0"/>
                <w:color w:val="000000"/>
                <w:kern w:val="0"/>
                <w:sz w:val="22"/>
                <w:szCs w:val="22"/>
                <w:u w:val="none"/>
                <w:lang w:val="en-US" w:eastAsia="zh-CN" w:bidi="ar"/>
              </w:rPr>
              <w:t>47027-2012</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081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《压力容器法兰、垫片、紧固件》</w:t>
            </w:r>
          </w:p>
        </w:tc>
      </w:tr>
      <w:tr w14:paraId="1B9DC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003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D92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20592</w:t>
            </w:r>
            <w:r>
              <w:rPr>
                <w:rFonts w:hint="eastAsia" w:ascii="Arial" w:hAnsi="Arial" w:eastAsia="宋体" w:cs="Arial"/>
                <w:i w:val="0"/>
                <w:iCs w:val="0"/>
                <w:snapToGrid w:val="0"/>
                <w:color w:val="000000"/>
                <w:kern w:val="0"/>
                <w:sz w:val="22"/>
                <w:szCs w:val="22"/>
                <w:u w:val="none"/>
                <w:lang w:val="en-US" w:eastAsia="zh-CN" w:bidi="ar"/>
              </w:rPr>
              <w:t>～</w:t>
            </w:r>
            <w:r>
              <w:rPr>
                <w:rFonts w:hint="default" w:ascii="Arial" w:hAnsi="Arial" w:eastAsia="宋体" w:cs="Arial"/>
                <w:i w:val="0"/>
                <w:iCs w:val="0"/>
                <w:snapToGrid w:val="0"/>
                <w:color w:val="000000"/>
                <w:kern w:val="0"/>
                <w:sz w:val="22"/>
                <w:szCs w:val="22"/>
                <w:u w:val="none"/>
                <w:lang w:val="en-US" w:eastAsia="zh-CN" w:bidi="ar"/>
              </w:rPr>
              <w:t>20614-2009</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A54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《钢制管法兰、垫片、紧固件》</w:t>
            </w:r>
          </w:p>
        </w:tc>
      </w:tr>
      <w:tr w14:paraId="31D44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AEE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F115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21574-2018</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805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《化工设备吊耳设计选用规范》</w:t>
            </w:r>
          </w:p>
        </w:tc>
      </w:tr>
      <w:tr w14:paraId="74907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C66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662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20580-2020</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8FD2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《钢制化工容器设计基础规定》</w:t>
            </w:r>
          </w:p>
        </w:tc>
      </w:tr>
      <w:tr w14:paraId="199BA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55F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21</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8042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20581-2020</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3D9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《钢制化工容器材料选用规定》</w:t>
            </w:r>
          </w:p>
        </w:tc>
      </w:tr>
      <w:tr w14:paraId="5EAF1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527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EE72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20582-2020</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D6A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《钢制化工容器强度计算规定》</w:t>
            </w:r>
          </w:p>
        </w:tc>
      </w:tr>
      <w:tr w14:paraId="55979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B9B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23</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46C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20583-2020</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342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《钢制化工容器结构设计规定》</w:t>
            </w:r>
          </w:p>
        </w:tc>
      </w:tr>
      <w:tr w14:paraId="362E8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0F12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24</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602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20584-2020</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807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《钢制化工容器制造技术要求》</w:t>
            </w:r>
          </w:p>
        </w:tc>
      </w:tr>
      <w:tr w14:paraId="1B4D7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CFE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25</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2A4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20678-2000</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882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《衬里钢壳设计技术规定》</w:t>
            </w:r>
          </w:p>
        </w:tc>
      </w:tr>
      <w:tr w14:paraId="1F8DF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ED4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26</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A81C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20677-2013</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606C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《橡胶衬里化工设备设计规范》</w:t>
            </w:r>
          </w:p>
        </w:tc>
      </w:tr>
      <w:tr w14:paraId="62F27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DE2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27</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518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20696-2018</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984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《纤维增强塑料化工设备技术规范》</w:t>
            </w:r>
          </w:p>
        </w:tc>
      </w:tr>
      <w:tr w14:paraId="6F7E8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39D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snapToGrid w:val="0"/>
                <w:color w:val="000000"/>
                <w:kern w:val="0"/>
                <w:sz w:val="22"/>
                <w:szCs w:val="22"/>
                <w:u w:val="none"/>
                <w:lang w:val="en-US" w:eastAsia="zh-CN" w:bidi="ar"/>
              </w:rPr>
              <w:t>28</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CC6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2640-2004</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CAD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《玻璃鳞片衬里施工技术条件》</w:t>
            </w:r>
          </w:p>
        </w:tc>
      </w:tr>
      <w:tr w14:paraId="0CEE4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CB9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snapToGrid w:val="0"/>
                <w:color w:val="000000"/>
                <w:kern w:val="0"/>
                <w:sz w:val="22"/>
                <w:szCs w:val="22"/>
                <w:u w:val="none"/>
                <w:lang w:val="en-US" w:eastAsia="zh-CN" w:bidi="ar"/>
              </w:rPr>
              <w:t>29</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CD12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2641-2009</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41C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《中碱玻璃鳞片》</w:t>
            </w:r>
          </w:p>
        </w:tc>
      </w:tr>
      <w:tr w14:paraId="24DF2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10D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snapToGrid w:val="0"/>
                <w:color w:val="000000"/>
                <w:kern w:val="0"/>
                <w:sz w:val="22"/>
                <w:szCs w:val="22"/>
                <w:u w:val="none"/>
                <w:lang w:val="en-US" w:eastAsia="zh-CN" w:bidi="ar"/>
              </w:rPr>
              <w:t>30</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1911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4112-2009</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6727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《塑料衬里储槽和罐式容器技术条件》</w:t>
            </w:r>
          </w:p>
        </w:tc>
      </w:tr>
      <w:tr w14:paraId="4D5F2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CB1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snapToGrid w:val="0"/>
                <w:color w:val="000000"/>
                <w:kern w:val="0"/>
                <w:sz w:val="22"/>
                <w:szCs w:val="22"/>
                <w:u w:val="none"/>
                <w:lang w:val="en-US" w:eastAsia="zh-CN" w:bidi="ar"/>
              </w:rPr>
              <w:t>31</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4A3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4277-2011</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664F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《钢制塑料衬里塔式容器技术条件》</w:t>
            </w:r>
          </w:p>
        </w:tc>
      </w:tr>
      <w:tr w14:paraId="41B18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953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snapToGrid w:val="0"/>
                <w:color w:val="000000"/>
                <w:kern w:val="0"/>
                <w:sz w:val="22"/>
                <w:szCs w:val="22"/>
                <w:u w:val="none"/>
                <w:lang w:val="en-US" w:eastAsia="zh-CN" w:bidi="ar"/>
              </w:rPr>
              <w:t>32</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626D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4088-2009</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258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《塑料衬里设备 通用技术条件》</w:t>
            </w:r>
          </w:p>
        </w:tc>
      </w:tr>
      <w:tr w14:paraId="4C681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5E5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leftChars="0"/>
              <w:jc w:val="center"/>
              <w:textAlignment w:val="center"/>
              <w:rPr>
                <w:rFonts w:hint="eastAsia" w:ascii="宋体" w:hAnsi="宋体" w:eastAsia="宋体" w:cs="宋体"/>
                <w:i w:val="0"/>
                <w:iCs w:val="0"/>
                <w:snapToGrid w:val="0"/>
                <w:color w:val="000000"/>
                <w:kern w:val="0"/>
                <w:sz w:val="22"/>
                <w:szCs w:val="22"/>
                <w:u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33</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AE2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4089-2009</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38D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《塑料衬里设备 水压试验方法》</w:t>
            </w:r>
          </w:p>
        </w:tc>
      </w:tr>
      <w:tr w14:paraId="4B890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CC0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leftChars="0"/>
              <w:jc w:val="center"/>
              <w:textAlignment w:val="center"/>
              <w:rPr>
                <w:rFonts w:hint="eastAsia" w:ascii="宋体" w:hAnsi="宋体" w:eastAsia="宋体" w:cs="宋体"/>
                <w:i w:val="0"/>
                <w:iCs w:val="0"/>
                <w:snapToGrid w:val="0"/>
                <w:color w:val="000000"/>
                <w:kern w:val="0"/>
                <w:sz w:val="22"/>
                <w:szCs w:val="22"/>
                <w:u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34</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A208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4090-2009</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554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《塑料衬里设备 电火花试验方法》</w:t>
            </w:r>
          </w:p>
        </w:tc>
      </w:tr>
      <w:tr w14:paraId="34493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FD3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leftChars="0"/>
              <w:jc w:val="center"/>
              <w:textAlignment w:val="center"/>
              <w:rPr>
                <w:rFonts w:hint="eastAsia" w:ascii="宋体" w:hAnsi="宋体" w:eastAsia="宋体" w:cs="宋体"/>
                <w:i w:val="0"/>
                <w:iCs w:val="0"/>
                <w:snapToGrid w:val="0"/>
                <w:color w:val="000000"/>
                <w:kern w:val="0"/>
                <w:sz w:val="22"/>
                <w:szCs w:val="22"/>
                <w:u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35</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51BA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4091-2009</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9B78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《塑料衬里设备 耐温试验方法》</w:t>
            </w:r>
          </w:p>
        </w:tc>
      </w:tr>
      <w:tr w14:paraId="3419A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D9A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leftChars="0"/>
              <w:jc w:val="center"/>
              <w:textAlignment w:val="center"/>
              <w:rPr>
                <w:rFonts w:hint="eastAsia" w:ascii="宋体" w:hAnsi="宋体" w:eastAsia="宋体" w:cs="宋体"/>
                <w:i w:val="0"/>
                <w:iCs w:val="0"/>
                <w:snapToGrid w:val="0"/>
                <w:color w:val="000000"/>
                <w:kern w:val="0"/>
                <w:sz w:val="22"/>
                <w:szCs w:val="22"/>
                <w:u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36</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5E2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4092-2009</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F3B3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《塑料衬里设备 热胀冷缩试验方法》</w:t>
            </w:r>
          </w:p>
        </w:tc>
      </w:tr>
      <w:tr w14:paraId="34B4E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09F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leftChars="0"/>
              <w:jc w:val="center"/>
              <w:textAlignment w:val="center"/>
              <w:rPr>
                <w:rFonts w:hint="eastAsia" w:ascii="宋体" w:hAnsi="宋体" w:eastAsia="宋体" w:cs="宋体"/>
                <w:i w:val="0"/>
                <w:iCs w:val="0"/>
                <w:snapToGrid w:val="0"/>
                <w:color w:val="000000"/>
                <w:kern w:val="0"/>
                <w:sz w:val="22"/>
                <w:szCs w:val="22"/>
                <w:u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37</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D06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4093-2009</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B32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《塑料衬里设备 衬里耐负压试验方法》</w:t>
            </w:r>
          </w:p>
        </w:tc>
      </w:tr>
      <w:tr w14:paraId="1B24C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7EE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leftChars="0"/>
              <w:jc w:val="center"/>
              <w:textAlignment w:val="center"/>
              <w:rPr>
                <w:rFonts w:hint="eastAsia" w:ascii="宋体" w:hAnsi="宋体" w:eastAsia="宋体" w:cs="宋体"/>
                <w:i w:val="0"/>
                <w:iCs w:val="0"/>
                <w:snapToGrid w:val="0"/>
                <w:color w:val="000000"/>
                <w:kern w:val="0"/>
                <w:sz w:val="22"/>
                <w:szCs w:val="22"/>
                <w:u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38</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C910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4280-2011</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17D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《塑料焊接工艺评定》</w:t>
            </w:r>
          </w:p>
        </w:tc>
      </w:tr>
      <w:tr w14:paraId="64DE8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46E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leftChars="0"/>
              <w:jc w:val="center"/>
              <w:textAlignment w:val="center"/>
              <w:rPr>
                <w:rFonts w:hint="eastAsia" w:ascii="宋体" w:hAnsi="宋体" w:eastAsia="宋体" w:cs="宋体"/>
                <w:i w:val="0"/>
                <w:iCs w:val="0"/>
                <w:snapToGrid w:val="0"/>
                <w:color w:val="000000"/>
                <w:kern w:val="0"/>
                <w:sz w:val="22"/>
                <w:szCs w:val="22"/>
                <w:u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39</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1DB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4281-2011</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170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《塑料焊接工艺规程》</w:t>
            </w:r>
          </w:p>
        </w:tc>
      </w:tr>
      <w:tr w14:paraId="6C90E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C9D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leftChars="0"/>
              <w:jc w:val="center"/>
              <w:textAlignment w:val="center"/>
              <w:rPr>
                <w:rFonts w:hint="eastAsia" w:ascii="宋体" w:hAnsi="宋体" w:eastAsia="宋体" w:cs="宋体"/>
                <w:i w:val="0"/>
                <w:iCs w:val="0"/>
                <w:snapToGrid w:val="0"/>
                <w:color w:val="000000"/>
                <w:kern w:val="0"/>
                <w:sz w:val="22"/>
                <w:szCs w:val="22"/>
                <w:u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40</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452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4282-2011</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6D3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《塑料焊接试样 拉伸检测方法》</w:t>
            </w:r>
          </w:p>
        </w:tc>
      </w:tr>
      <w:tr w14:paraId="5A040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FC4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leftChars="0"/>
              <w:jc w:val="center"/>
              <w:textAlignment w:val="center"/>
              <w:rPr>
                <w:rFonts w:hint="eastAsia" w:ascii="宋体" w:hAnsi="宋体" w:eastAsia="宋体" w:cs="宋体"/>
                <w:i w:val="0"/>
                <w:iCs w:val="0"/>
                <w:snapToGrid w:val="0"/>
                <w:color w:val="000000"/>
                <w:kern w:val="0"/>
                <w:sz w:val="22"/>
                <w:szCs w:val="22"/>
                <w:u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41</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2A7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HG/T 20569-2013</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F7F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《机械搅拌设备》</w:t>
            </w:r>
          </w:p>
        </w:tc>
      </w:tr>
      <w:tr w14:paraId="329A9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99F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leftChars="0"/>
              <w:jc w:val="center"/>
              <w:textAlignment w:val="center"/>
              <w:rPr>
                <w:rFonts w:hint="eastAsia" w:ascii="宋体" w:hAnsi="宋体" w:eastAsia="宋体" w:cs="宋体"/>
                <w:i w:val="0"/>
                <w:iCs w:val="0"/>
                <w:snapToGrid w:val="0"/>
                <w:color w:val="000000"/>
                <w:kern w:val="0"/>
                <w:sz w:val="22"/>
                <w:szCs w:val="22"/>
                <w:u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42</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2A9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GB/T 8163-2018</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E8E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《输送流体用无缝钢管》</w:t>
            </w:r>
          </w:p>
        </w:tc>
      </w:tr>
      <w:tr w14:paraId="0747C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580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leftChars="0"/>
              <w:jc w:val="center"/>
              <w:textAlignment w:val="center"/>
              <w:rPr>
                <w:rFonts w:hint="eastAsia" w:ascii="宋体" w:hAnsi="宋体" w:eastAsia="宋体" w:cs="宋体"/>
                <w:i w:val="0"/>
                <w:iCs w:val="0"/>
                <w:snapToGrid w:val="0"/>
                <w:color w:val="000000"/>
                <w:kern w:val="0"/>
                <w:sz w:val="22"/>
                <w:szCs w:val="22"/>
                <w:u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43</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92F7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GB/T 9948-2013</w:t>
            </w:r>
          </w:p>
        </w:tc>
        <w:tc>
          <w:tcPr>
            <w:tcW w:w="3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857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《石油裂化用无缝钢管》</w:t>
            </w:r>
          </w:p>
        </w:tc>
      </w:tr>
    </w:tbl>
    <w:p w14:paraId="1334EBD8">
      <w:pPr>
        <w:spacing w:line="360" w:lineRule="auto"/>
        <w:rPr>
          <w:rFonts w:hint="eastAsia" w:asciiTheme="minorEastAsia" w:hAnsiTheme="minorEastAsia" w:eastAsiaTheme="minorEastAsia" w:cstheme="minorEastAsia"/>
          <w:sz w:val="28"/>
          <w:szCs w:val="28"/>
        </w:rPr>
      </w:pPr>
    </w:p>
    <w:p w14:paraId="6B24CE5B">
      <w:pPr>
        <w:spacing w:line="360" w:lineRule="auto"/>
        <w:rPr>
          <w:rStyle w:val="12"/>
          <w:rFonts w:hint="eastAsia" w:asciiTheme="minorEastAsia" w:hAnsiTheme="minorEastAsia" w:eastAsiaTheme="minorEastAsia" w:cstheme="minorEastAsia"/>
          <w:sz w:val="28"/>
          <w:szCs w:val="28"/>
          <w:lang w:val="en-US" w:eastAsia="zh-CN"/>
        </w:rPr>
      </w:pPr>
      <w:bookmarkStart w:id="7" w:name="_Toc11941"/>
      <w:r>
        <w:rPr>
          <w:rStyle w:val="12"/>
          <w:rFonts w:hint="eastAsia" w:asciiTheme="minorEastAsia" w:hAnsiTheme="minorEastAsia" w:eastAsiaTheme="minorEastAsia" w:cstheme="minorEastAsia"/>
          <w:sz w:val="28"/>
          <w:szCs w:val="28"/>
          <w:lang w:val="en-US" w:eastAsia="zh-CN"/>
        </w:rPr>
        <w:t>7.技术要求</w:t>
      </w:r>
    </w:p>
    <w:bookmarkEnd w:id="7"/>
    <w:p w14:paraId="780368A0">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7.1总则</w:t>
      </w:r>
    </w:p>
    <w:p w14:paraId="4195925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7.1.1除应满足强度和稳定性计算外，衬里设备壳体的最小厚度应当满足下列原则：1）壳体的最小厚度不得小于5mm；</w:t>
      </w:r>
    </w:p>
    <w:p w14:paraId="311036C3">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7.1.1除应满足强度和稳定性计算外，衬里设备壳体的最小厚度应当满足下列原则：</w:t>
      </w:r>
    </w:p>
    <w:p w14:paraId="38F6E0E1">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1）壳体的最小厚度不得小于5mm；</w:t>
      </w:r>
    </w:p>
    <w:p w14:paraId="05D9023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2）壳体厚度不小于</w:t>
      </w:r>
    </w:p>
    <w:p w14:paraId="718075A2">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其中：厚度附加量（包括厚度负偏差和厚度减薄量）C=2mm；刚度附加量A的数值如下表：</w:t>
      </w: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52"/>
        <w:gridCol w:w="956"/>
        <w:gridCol w:w="1658"/>
        <w:gridCol w:w="1776"/>
        <w:gridCol w:w="1777"/>
      </w:tblGrid>
      <w:tr w14:paraId="22962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D5A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壳体内径</w:t>
            </w:r>
            <w:r>
              <w:rPr>
                <w:rStyle w:val="11"/>
                <w:rFonts w:hint="eastAsia" w:ascii="宋体" w:hAnsi="宋体" w:eastAsia="宋体" w:cs="宋体"/>
                <w:snapToGrid w:val="0"/>
                <w:color w:val="000000"/>
                <w:sz w:val="21"/>
                <w:szCs w:val="21"/>
                <w:lang w:val="en-US" w:eastAsia="zh-CN" w:bidi="ar"/>
              </w:rPr>
              <w:t>int.Dia.mm</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A58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napToGrid w:val="0"/>
                <w:color w:val="000000"/>
                <w:sz w:val="21"/>
                <w:szCs w:val="21"/>
                <w:lang w:val="en-US" w:eastAsia="zh-CN" w:bidi="ar"/>
              </w:rPr>
              <w:t>Di</w:t>
            </w:r>
            <w:r>
              <w:rPr>
                <w:rStyle w:val="10"/>
                <w:rFonts w:hint="eastAsia" w:ascii="宋体" w:hAnsi="宋体" w:eastAsia="宋体" w:cs="宋体"/>
                <w:snapToGrid w:val="0"/>
                <w:color w:val="000000"/>
                <w:sz w:val="21"/>
                <w:szCs w:val="21"/>
                <w:lang w:val="en-US" w:eastAsia="zh-CN" w:bidi="ar"/>
              </w:rPr>
              <w:t>≤</w:t>
            </w:r>
            <w:r>
              <w:rPr>
                <w:rStyle w:val="11"/>
                <w:rFonts w:hint="eastAsia" w:ascii="宋体" w:hAnsi="宋体" w:eastAsia="宋体" w:cs="宋体"/>
                <w:snapToGrid w:val="0"/>
                <w:color w:val="000000"/>
                <w:sz w:val="21"/>
                <w:szCs w:val="21"/>
                <w:lang w:val="en-US" w:eastAsia="zh-CN" w:bidi="ar"/>
              </w:rPr>
              <w:t>600</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8FD1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napToGrid w:val="0"/>
                <w:color w:val="000000"/>
                <w:sz w:val="21"/>
                <w:szCs w:val="21"/>
                <w:lang w:val="en-US" w:eastAsia="zh-CN" w:bidi="ar"/>
              </w:rPr>
              <w:t>600&lt;Di</w:t>
            </w:r>
            <w:r>
              <w:rPr>
                <w:rStyle w:val="10"/>
                <w:rFonts w:hint="eastAsia" w:ascii="宋体" w:hAnsi="宋体" w:eastAsia="宋体" w:cs="宋体"/>
                <w:snapToGrid w:val="0"/>
                <w:color w:val="000000"/>
                <w:sz w:val="21"/>
                <w:szCs w:val="21"/>
                <w:lang w:val="en-US" w:eastAsia="zh-CN" w:bidi="ar"/>
              </w:rPr>
              <w:t>≤</w:t>
            </w:r>
            <w:r>
              <w:rPr>
                <w:rStyle w:val="11"/>
                <w:rFonts w:hint="eastAsia" w:ascii="宋体" w:hAnsi="宋体" w:eastAsia="宋体" w:cs="宋体"/>
                <w:snapToGrid w:val="0"/>
                <w:color w:val="000000"/>
                <w:sz w:val="21"/>
                <w:szCs w:val="21"/>
                <w:lang w:val="en-US" w:eastAsia="zh-CN" w:bidi="ar"/>
              </w:rPr>
              <w:t>1400</w:t>
            </w: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CD9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napToGrid w:val="0"/>
                <w:color w:val="000000"/>
                <w:sz w:val="21"/>
                <w:szCs w:val="21"/>
                <w:lang w:val="en-US" w:eastAsia="zh-CN" w:bidi="ar"/>
              </w:rPr>
              <w:t>1400&lt;Di</w:t>
            </w:r>
            <w:r>
              <w:rPr>
                <w:rStyle w:val="10"/>
                <w:rFonts w:hint="eastAsia" w:ascii="宋体" w:hAnsi="宋体" w:eastAsia="宋体" w:cs="宋体"/>
                <w:snapToGrid w:val="0"/>
                <w:color w:val="000000"/>
                <w:sz w:val="21"/>
                <w:szCs w:val="21"/>
                <w:lang w:val="en-US" w:eastAsia="zh-CN" w:bidi="ar"/>
              </w:rPr>
              <w:t>≤</w:t>
            </w:r>
            <w:r>
              <w:rPr>
                <w:rStyle w:val="11"/>
                <w:rFonts w:hint="eastAsia" w:ascii="宋体" w:hAnsi="宋体" w:eastAsia="宋体" w:cs="宋体"/>
                <w:snapToGrid w:val="0"/>
                <w:color w:val="000000"/>
                <w:sz w:val="21"/>
                <w:szCs w:val="21"/>
                <w:lang w:val="en-US" w:eastAsia="zh-CN" w:bidi="ar"/>
              </w:rPr>
              <w:t>2400</w:t>
            </w: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1BF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napToGrid w:val="0"/>
                <w:color w:val="000000"/>
                <w:sz w:val="21"/>
                <w:szCs w:val="21"/>
                <w:lang w:val="en-US" w:eastAsia="zh-CN" w:bidi="ar"/>
              </w:rPr>
              <w:t>2400&lt;Di</w:t>
            </w:r>
            <w:r>
              <w:rPr>
                <w:rStyle w:val="10"/>
                <w:rFonts w:hint="eastAsia" w:ascii="宋体" w:hAnsi="宋体" w:eastAsia="宋体" w:cs="宋体"/>
                <w:snapToGrid w:val="0"/>
                <w:color w:val="000000"/>
                <w:sz w:val="21"/>
                <w:szCs w:val="21"/>
                <w:lang w:val="en-US" w:eastAsia="zh-CN" w:bidi="ar"/>
              </w:rPr>
              <w:t>≤</w:t>
            </w:r>
            <w:r>
              <w:rPr>
                <w:rStyle w:val="11"/>
                <w:rFonts w:hint="eastAsia" w:ascii="宋体" w:hAnsi="宋体" w:eastAsia="宋体" w:cs="宋体"/>
                <w:snapToGrid w:val="0"/>
                <w:color w:val="000000"/>
                <w:sz w:val="21"/>
                <w:szCs w:val="21"/>
                <w:lang w:val="en-US" w:eastAsia="zh-CN" w:bidi="ar"/>
              </w:rPr>
              <w:t>4000</w:t>
            </w:r>
          </w:p>
        </w:tc>
      </w:tr>
      <w:tr w14:paraId="26689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7ED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napToGrid w:val="0"/>
                <w:color w:val="000000"/>
                <w:sz w:val="21"/>
                <w:szCs w:val="21"/>
                <w:lang w:val="en-US" w:eastAsia="zh-CN" w:bidi="ar"/>
              </w:rPr>
              <w:t>Amm</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883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0.5</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4B3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34DA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w:t>
            </w: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328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lef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r>
    </w:tbl>
    <w:p w14:paraId="0AA1BD42">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7.1.2工程图上所示设备壳体厚度为成形后的最小厚度，包括腐蚀余量（卖方应确认是否能够承担所有荷载），但不包括成形和制造加工过程中的减薄量。此厚度必须由供货商计算确认。</w:t>
      </w:r>
    </w:p>
    <w:p w14:paraId="667C7726">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7.2壳体和封头</w:t>
      </w:r>
    </w:p>
    <w:p w14:paraId="2D6973CD">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7.2.1当壳体厚度不同时，应保证设备内直径不变。</w:t>
      </w:r>
    </w:p>
    <w:p w14:paraId="441E7904">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7.2.2壳体相邻段的纵向焊缝之间的距离不得小于300mm，测量点为焊接接头的边缘。</w:t>
      </w:r>
    </w:p>
    <w:p w14:paraId="385AAF3B">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7.2.3用于制造每段壳体的板材不允许拼接。</w:t>
      </w:r>
    </w:p>
    <w:p w14:paraId="167C7B9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7.2.4采用2:1标准椭圆型封头。</w:t>
      </w:r>
    </w:p>
    <w:p w14:paraId="2EC72C8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7.2.5衬里设备壳体内表面的对接焊缝必须修磨与壳体圆滑过渡以符合HG/T20678-2000中的规定，需要时应将焊缝打磨至与母材平齐。</w:t>
      </w:r>
    </w:p>
    <w:p w14:paraId="3199CA27">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7.3设备法兰</w:t>
      </w:r>
    </w:p>
    <w:p w14:paraId="4E1D70D0">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7.3.1除非另有说明，螺栓孔应跨中均布。</w:t>
      </w:r>
    </w:p>
    <w:p w14:paraId="30278A1D">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7.3.2原则上，设备法兰选用NB/T47020～47027-2012标准中的法兰，否则应按GB/T150中的规定进行设计。</w:t>
      </w:r>
    </w:p>
    <w:p w14:paraId="3A188FC8">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7.3.3法兰密封面的结构应满足衬里的要求，拐角处应倒圆，倒圆半径至少5mm。</w:t>
      </w:r>
    </w:p>
    <w:p w14:paraId="08CAF3AF">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7.3.4高颈法兰不允许用板材制造。</w:t>
      </w:r>
    </w:p>
    <w:p w14:paraId="2C885137">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7.4接管</w:t>
      </w:r>
    </w:p>
    <w:p w14:paraId="1C627A52">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7.4.1除非另有规定，所有接管颈均为无缝结构。</w:t>
      </w:r>
    </w:p>
    <w:p w14:paraId="794FBD4F">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7.4.2除非容器工程图上有规定，最小的接管的公称直径为25mm(1”)。</w:t>
      </w:r>
    </w:p>
    <w:p w14:paraId="4C083820">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7.4.3除非另有规定，所有接管与壳体的连接处均须倒圆，倒圆半径最小为5mm。</w:t>
      </w:r>
    </w:p>
    <w:p w14:paraId="7AD33F2B">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7.4.4如果接管要求带法兰盖，供货商应提供螺柱、螺母和垫片。</w:t>
      </w:r>
    </w:p>
    <w:p w14:paraId="75A3464D">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7.5接管法兰</w:t>
      </w:r>
    </w:p>
    <w:p w14:paraId="2EDA583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7.5.1接管法兰按HG/T20592-2009中B系列的规定选用。</w:t>
      </w:r>
    </w:p>
    <w:p w14:paraId="4581CA5E">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7.5.2法兰密封面的结构应满足衬里的要求，拐角处应倒圆，倒圆半径至少5mm。</w:t>
      </w:r>
    </w:p>
    <w:p w14:paraId="24BF36EC">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7.5.3螺栓孔应跨中均布。</w:t>
      </w:r>
    </w:p>
    <w:p w14:paraId="4802115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7.6人孔</w:t>
      </w:r>
    </w:p>
    <w:p w14:paraId="01BBE36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7.6.1人孔和手孔应按HG/T21514～21535-2014中的规定选用。</w:t>
      </w:r>
    </w:p>
    <w:p w14:paraId="4A3DB864">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7.6.2所有的人孔和盲法兰应提供法兰盖、螺栓、螺母和垫片。</w:t>
      </w:r>
    </w:p>
    <w:p w14:paraId="754DB2B1">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7.6.3如果每个人孔盖的重量大于30Kg时应设置吊柱设施。</w:t>
      </w:r>
    </w:p>
    <w:p w14:paraId="4A2E1F0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7.6.4法兰密封面的结构应满足衬里的要求，拐角处应倒圆，倒圆半径至少5mm。</w:t>
      </w:r>
    </w:p>
    <w:p w14:paraId="33A75861">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7.7螺栓/螺柱、螺母和垫片</w:t>
      </w:r>
    </w:p>
    <w:p w14:paraId="25BA9C4F">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7.7.1设备法兰用螺栓/螺柱、螺母和垫片</w:t>
      </w:r>
    </w:p>
    <w:p w14:paraId="70826A5E">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7.7.1.1所有螺栓/螺柱和螺母的螺纹及尺寸采用公制。</w:t>
      </w:r>
    </w:p>
    <w:p w14:paraId="0924506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7.7.1.2所有双螺柱/螺栓，螺母和垫片的材料按工程图中的要求。</w:t>
      </w:r>
    </w:p>
    <w:p w14:paraId="32DBBCDE">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7.7.1.3螺栓伸出螺母至少两个螺距。</w:t>
      </w:r>
    </w:p>
    <w:p w14:paraId="51BE6B93">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7.7.2管法兰用螺栓/螺柱、螺母和垫片（人手孔和视镜除外）</w:t>
      </w:r>
    </w:p>
    <w:p w14:paraId="79BECFD4">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7.7.2.1所有螺栓/螺柱和螺母的螺纹及尺寸采用公制。</w:t>
      </w:r>
    </w:p>
    <w:p w14:paraId="1D452EAA">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7.7.2.2所有双螺柱/螺栓，螺母和垫片的材料按工程图中的要求。</w:t>
      </w:r>
    </w:p>
    <w:p w14:paraId="728021F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7.7.2.3螺栓伸出螺母至少两个螺距。</w:t>
      </w:r>
    </w:p>
    <w:p w14:paraId="4F56EC8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7.7.2.4双头螺柱的形式为全螺纹。</w:t>
      </w:r>
    </w:p>
    <w:p w14:paraId="71EA9C7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7.7.3设备内螺栓/螺母应适用于与其接触的介质和连接件的要求。</w:t>
      </w:r>
    </w:p>
    <w:p w14:paraId="627982AC">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7.7.4垫片不允许拼接。</w:t>
      </w:r>
    </w:p>
    <w:p w14:paraId="5E16E44D">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7.7.5垫片材料不允许用石棉。</w:t>
      </w:r>
    </w:p>
    <w:p w14:paraId="2FEBC838">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7.7.6不允许用垫片黏结剂和润滑剂等。</w:t>
      </w:r>
    </w:p>
    <w:p w14:paraId="7B826F34">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7.8内件</w:t>
      </w:r>
    </w:p>
    <w:p w14:paraId="0B05EBDF">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7.8.1内件的设计应自行排液。</w:t>
      </w:r>
    </w:p>
    <w:p w14:paraId="254EA070">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7.8.2内件的设计须易于衬里的施工、易于安装及易于维修。</w:t>
      </w:r>
    </w:p>
    <w:p w14:paraId="631977F7">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7.8.3会产生磨蚀的入口管处应设置防冲板。</w:t>
      </w:r>
    </w:p>
    <w:p w14:paraId="4D11B7B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7.8.4不可拆内件各表面的衬里厚度与设备壳体的相同。可拆内件各表面的衬层厚度不低于本规定的要求或工程图/数据单中的规定。</w:t>
      </w:r>
    </w:p>
    <w:p w14:paraId="41643607">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7.9支撑Supports</w:t>
      </w:r>
    </w:p>
    <w:p w14:paraId="5649707F">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7.9.1立式设备用裙座、支腿或耳式支座支撑；卧式容器用两个鞍座支撑。</w:t>
      </w:r>
    </w:p>
    <w:p w14:paraId="494D63D3">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7.9.2裙座和基础环的详细结构、检查孔、放空和引出管的要求按相关标准。</w:t>
      </w:r>
    </w:p>
    <w:p w14:paraId="4DEA75B6">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7.9.3支腿按NB/T47065.2选用或工程图上的规定。</w:t>
      </w:r>
    </w:p>
    <w:p w14:paraId="563C0F3D">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7.9.4鞍座的尺寸按NB/T47065.1。卧式容器不允许用2个以上鞍座支撑。鞍座只能固定一端。</w:t>
      </w:r>
    </w:p>
    <w:p w14:paraId="4198D888">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7.9.5裙座基础环板的厚度应能够承担由螺栓座产生的反力。</w:t>
      </w:r>
    </w:p>
    <w:p w14:paraId="22486A34">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7.9.6裙座支撑的设备的地脚螺栓的个数应为4的倍数且不少于8个。除非另有规定，地脚螺栓应跨中均布。地脚螺栓的最小尺寸为M24。地脚螺栓材料的许用应力按NB/T47041中的规定，工程图中另有规定的除外，计算时以螺栓根颈为基准。</w:t>
      </w:r>
    </w:p>
    <w:p w14:paraId="28E1EF40">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7.9.7容器支腿和地脚螺栓的设计应考虑充满水的工况。</w:t>
      </w:r>
    </w:p>
    <w:p w14:paraId="0A9CC3C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7.9.8支撑和垫板与壳体的焊接必须是连续焊。鞍座垫板的最低处应设有10mm的导淋孔，此孔应在设备水压试验后用密封油脂封好；支腿垫板的最低中心处应留10mm不焊。垫板的厚度为壳体厚度和6mm中的小值。</w:t>
      </w:r>
    </w:p>
    <w:p w14:paraId="767C7C7B">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7.9.9耳式支座按NB/T47065.3选用或工程图上的规定。</w:t>
      </w:r>
    </w:p>
    <w:p w14:paraId="7183E406">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7.9.10所有支撑均应进行强度计算并提供计算书供审查。</w:t>
      </w:r>
    </w:p>
    <w:p w14:paraId="4B8CDC1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7.10其它零件</w:t>
      </w:r>
    </w:p>
    <w:p w14:paraId="5A44F4FB">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7.10.1每台设备或重量超过30Kg的可拆部件应设置锻制环手螺栓或板式吊耳。对于有绝热要求的设备，其吊耳应伸出绝热层。</w:t>
      </w:r>
    </w:p>
    <w:p w14:paraId="177B5460">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7.10.2绝热用的支撑圈、卡子等应由供货厂商按照东南电化提供的标准图或东南电化提供工程图上的要求提供。</w:t>
      </w:r>
    </w:p>
    <w:p w14:paraId="1B8D32CA">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7.10.3卧式设备在制造厂进行涂漆，且应在鞍座处设置吊耳以便于吊装和不损坏涂漆。</w:t>
      </w:r>
    </w:p>
    <w:p w14:paraId="00B2E4A2">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7.10.4按照东南电化的标准图和东南电化工程图中的规定，每台设备设置至少两个接地板。</w:t>
      </w:r>
    </w:p>
    <w:p w14:paraId="2A9065E6">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7.11其它要求</w:t>
      </w:r>
    </w:p>
    <w:p w14:paraId="3FF60122">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7.11.1接管的补强板和支座的垫板等不允许覆盖任何纵环焊缝。</w:t>
      </w:r>
    </w:p>
    <w:p w14:paraId="12C18ED6">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7.11.2任何焊缝边缘之间的距离不小于50mm或3倍的壳体厚度中的大值。</w:t>
      </w:r>
    </w:p>
    <w:p w14:paraId="6C0D428C">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7.11.3供货厂商应根据容器工程图中的要求提供绝热支撑圈、支撑件、梯子平台及其连接板、吊耳和其它附件。</w:t>
      </w:r>
    </w:p>
    <w:p w14:paraId="0345F1ED">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7.11.4按照东南电化的标准图并根据东南电化工程图中的要求设置接管防涡板。</w:t>
      </w:r>
    </w:p>
    <w:p w14:paraId="3E5FA313">
      <w:pPr>
        <w:spacing w:line="360" w:lineRule="auto"/>
        <w:rPr>
          <w:rStyle w:val="12"/>
          <w:rFonts w:hint="eastAsia" w:asciiTheme="minorEastAsia" w:hAnsiTheme="minorEastAsia" w:eastAsiaTheme="minorEastAsia" w:cstheme="minorEastAsia"/>
          <w:sz w:val="28"/>
          <w:szCs w:val="28"/>
          <w:lang w:val="en-US" w:eastAsia="zh-CN"/>
        </w:rPr>
      </w:pPr>
      <w:bookmarkStart w:id="8" w:name="_Toc31577"/>
      <w:r>
        <w:rPr>
          <w:rStyle w:val="12"/>
          <w:rFonts w:hint="eastAsia" w:asciiTheme="minorEastAsia" w:hAnsiTheme="minorEastAsia" w:eastAsiaTheme="minorEastAsia" w:cstheme="minorEastAsia"/>
          <w:sz w:val="28"/>
          <w:szCs w:val="28"/>
          <w:lang w:val="en-US" w:eastAsia="zh-CN"/>
        </w:rPr>
        <w:t>8.制造和焊接</w:t>
      </w:r>
    </w:p>
    <w:bookmarkEnd w:id="8"/>
    <w:p w14:paraId="09E3124F">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8.1总则</w:t>
      </w:r>
    </w:p>
    <w:p w14:paraId="6F1E8457">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在没有收到买方书面批准的制造图前供货厂商不能开始制造。</w:t>
      </w:r>
    </w:p>
    <w:p w14:paraId="2BD7C27F">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8.2凸型封头</w:t>
      </w:r>
    </w:p>
    <w:p w14:paraId="3FBB109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8.2.1由多于一块板材或由成型的瓣片制造的封头，在焊接、成型和完成所要求的热处理后应进行100%射线检测。</w:t>
      </w:r>
    </w:p>
    <w:p w14:paraId="2E55F710">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8.2.2对于冷成形的碳钢和低合金钢封头，在成形后应进行恢复材料性能热处理。</w:t>
      </w:r>
    </w:p>
    <w:p w14:paraId="7ED9B79E">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8.2.3热冲压成形或热旋压成形的碳钢和低合金钢封头在成形后必须进行正火处理，除非制造者能够保证封头热成形的终止温度不低于材料的正火最低温度。</w:t>
      </w:r>
    </w:p>
    <w:p w14:paraId="5B316C21">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8.2.4不允许采用局部加热局部成型的方法。不允许采用敲击的冷成型方法。</w:t>
      </w:r>
    </w:p>
    <w:p w14:paraId="2715B5BC">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8.2.5热成型产生的大的氧化皮应用喷砂的方法除去。</w:t>
      </w:r>
    </w:p>
    <w:p w14:paraId="06736CF7">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8.3切割和焊接准备</w:t>
      </w:r>
    </w:p>
    <w:p w14:paraId="506A5E4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8.3.1采用热切割方法切割的材料的切割部位应打磨干净。</w:t>
      </w:r>
    </w:p>
    <w:p w14:paraId="058803AA">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8.3.2所有的焊接坡口应采用合适的方法进行检验且不允许存在任何缺陷、裂纹和分层等。</w:t>
      </w:r>
    </w:p>
    <w:p w14:paraId="29468396">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8.4焊接规程</w:t>
      </w:r>
    </w:p>
    <w:p w14:paraId="5E17222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8.4.1在开始制造之前，所有焊接接头（包括角焊缝）的焊接规程和焊接工艺评定报告应提交买方审查。</w:t>
      </w:r>
    </w:p>
    <w:p w14:paraId="3C86E2D2">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8.4.2焊接工艺评定报告不是焊接规程。</w:t>
      </w:r>
    </w:p>
    <w:p w14:paraId="30083801">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8.4.3买方的检验人员将审查焊工是否合格。</w:t>
      </w:r>
    </w:p>
    <w:p w14:paraId="02E2CC41">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8.5焊接工艺</w:t>
      </w:r>
    </w:p>
    <w:p w14:paraId="75F0B3B3">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8.5.1供货厂商应保证其采用的焊接工艺能够适用于其焊接的材料和相应的材料厚度而不损坏材料的机械性能和影响材料的耐腐蚀性。</w:t>
      </w:r>
    </w:p>
    <w:p w14:paraId="662596CA">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8.5.2短弧焊接工艺（CO2保护焊）不允许用于承压部件和主要承载结构的焊接。</w:t>
      </w:r>
    </w:p>
    <w:p w14:paraId="3ECC952A">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8.5.3不允许用电渣焊。</w:t>
      </w:r>
    </w:p>
    <w:p w14:paraId="6C8E8F14">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8.6其它要求</w:t>
      </w:r>
    </w:p>
    <w:p w14:paraId="278DE8A2">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8.6.1当没有预热要求时，若环境温度低于0℃,母材应至少加热到15℃.</w:t>
      </w:r>
    </w:p>
    <w:p w14:paraId="6049E77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8.6.2供货厂商应确定焊接的预热温度以防止冷裂纹、焊接热影响区的硬度超标和过量的变形。</w:t>
      </w:r>
    </w:p>
    <w:p w14:paraId="37742E14">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8.6.3不允许采用永久性背部垫板。</w:t>
      </w:r>
    </w:p>
    <w:p w14:paraId="1122C2CA">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8.6.4每条焊缝应均匀，且不允许有夹渣、裂纹和气孔存在。表面应光滑，应不存在不规则的形状和高低不平。</w:t>
      </w:r>
    </w:p>
    <w:p w14:paraId="7A224FB8">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8.6.5所有对接接头为全焊透结构。</w:t>
      </w:r>
    </w:p>
    <w:p w14:paraId="45E10B48">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8.6.6双面对接焊缝的背面在开始焊接之前应清根或打磨到金属层。</w:t>
      </w:r>
    </w:p>
    <w:p w14:paraId="5F91E2B7">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8.7热处理</w:t>
      </w:r>
    </w:p>
    <w:p w14:paraId="43FD80D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8.7.1热处理的要求应严格按照规范的要求。</w:t>
      </w:r>
    </w:p>
    <w:p w14:paraId="48DADC38">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8.7.2热处理时所有法兰的密封面应进行保护以免氧化。</w:t>
      </w:r>
    </w:p>
    <w:p w14:paraId="5F501657">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8.7.3如果可能的话，所有设备应整体进行热处理。在热处理进行前，至少裙座的上部应焊接在壳体上。</w:t>
      </w:r>
    </w:p>
    <w:p w14:paraId="083E6E12">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8.7.4热处理期间，热处理温度应进行记录，其拷贝件应包含在所提供的文件中。</w:t>
      </w:r>
    </w:p>
    <w:p w14:paraId="54E91FAE">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8.7.5焊后热处理温度应低于正火加回火或淬火加回火的材料回火温度20℃。</w:t>
      </w:r>
    </w:p>
    <w:p w14:paraId="7DEFA10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8.7.6所有经过焊后热处理的部件应永久性地标明“已热处理，不允许在此设备上焊接或灼烧”。</w:t>
      </w:r>
    </w:p>
    <w:p w14:paraId="0503B9E3">
      <w:pPr>
        <w:spacing w:line="360" w:lineRule="auto"/>
        <w:rPr>
          <w:rStyle w:val="12"/>
          <w:rFonts w:hint="eastAsia" w:asciiTheme="minorEastAsia" w:hAnsiTheme="minorEastAsia" w:eastAsiaTheme="minorEastAsia" w:cstheme="minorEastAsia"/>
          <w:sz w:val="28"/>
          <w:szCs w:val="28"/>
          <w:lang w:val="en-US" w:eastAsia="zh-CN"/>
        </w:rPr>
      </w:pPr>
      <w:bookmarkStart w:id="9" w:name="_Toc4672"/>
      <w:r>
        <w:rPr>
          <w:rStyle w:val="12"/>
          <w:rFonts w:hint="eastAsia" w:asciiTheme="minorEastAsia" w:hAnsiTheme="minorEastAsia" w:eastAsiaTheme="minorEastAsia" w:cstheme="minorEastAsia"/>
          <w:sz w:val="28"/>
          <w:szCs w:val="28"/>
          <w:lang w:val="en-US" w:eastAsia="zh-CN"/>
        </w:rPr>
        <w:t>9.检验</w:t>
      </w:r>
    </w:p>
    <w:bookmarkEnd w:id="9"/>
    <w:p w14:paraId="6A4967F2">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9.1总则</w:t>
      </w:r>
    </w:p>
    <w:p w14:paraId="727F7DBE">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9.1.1在制造开始之前，包括所有检验和试验阶段的质量计划应提供给买方审查。每台设备应有检验试验计划，而且应至少包括买方询价/采购文件或本规定中规定的检验阶段。</w:t>
      </w:r>
    </w:p>
    <w:p w14:paraId="41ACAD00">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9.1.2东南电化委派的代表应自由地进入制造商的制造场所，如果需要，也可以进入制造商的分包商的车间。这包括查看与制造设备有关的记录、档案、报告和证明等的权利。他们可以拒绝任何可能有缺陷或低于标准的工作、材料和工艺。</w:t>
      </w:r>
    </w:p>
    <w:p w14:paraId="242C170A">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9.1.3供货厂商负责通知买方设备阶段性检验和试验的时间。</w:t>
      </w:r>
    </w:p>
    <w:p w14:paraId="5DC5CD6E">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9.1.4供货厂商应免费提供完成检验和试验所需要的设备和仪器。</w:t>
      </w:r>
    </w:p>
    <w:p w14:paraId="64CE3CC0">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9.1.5虽然设备或部件由买方的检验人员或代表已签收，但是这不能减低或影响制造厂对设备没有任何缺陷和满足所有订单中的条款和条件负责的责任。</w:t>
      </w:r>
    </w:p>
    <w:p w14:paraId="795813A8">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9.2材料标识和证明</w:t>
      </w:r>
    </w:p>
    <w:p w14:paraId="6C617FAE">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9.2.1制造厂应该提供一种程序方法，据此容器任何部位的材料都能明确是从哪块材料切下的以及材料证明。</w:t>
      </w:r>
    </w:p>
    <w:p w14:paraId="7715303E">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9.2.2在制造开始前，所有用于制造设备的材料必须与按相应规定进行的试验和分析得到的材料证明书一起提交买方进行确认。</w:t>
      </w:r>
    </w:p>
    <w:p w14:paraId="4875CDC3">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9.2.3当制造商需要使用其库存材料时，其应提交材料的证明书并且买方的检验员将确认材料证明书所包括的材料。</w:t>
      </w:r>
    </w:p>
    <w:p w14:paraId="1FE249BA">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9.2.4当东南电化公司的检验员对材料的标识有怀疑或没有材料证明书时，应当在买方检验员在场的情况下对材料按相关的规定进行试验。所有试验的费用由制造厂承担。</w:t>
      </w:r>
    </w:p>
    <w:p w14:paraId="0B85BA60">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9.2.5材料证明书必须是原件或是由相关负责人签署确认是真正的复印件。</w:t>
      </w:r>
    </w:p>
    <w:p w14:paraId="2AB3C7DA">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9.3玻璃鳞片衬里</w:t>
      </w:r>
    </w:p>
    <w:p w14:paraId="0A31CEF7">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9.3.1玻璃鳞片衬里的电压为每毫米3000V。</w:t>
      </w:r>
    </w:p>
    <w:p w14:paraId="6D15CB89">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9.3.2火花长度不低于25mm。</w:t>
      </w:r>
    </w:p>
    <w:p w14:paraId="774E5366">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9.3.3耐直流电压检测时，探头的移动速度不高于50mm/s。</w:t>
      </w:r>
    </w:p>
    <w:p w14:paraId="62FC4D4B">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9.3.4玻璃鳞片每施工一道进行一次耐直流电压检测。</w:t>
      </w:r>
    </w:p>
    <w:p w14:paraId="4F51D91D">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9.4其它检验</w:t>
      </w:r>
    </w:p>
    <w:p w14:paraId="1B0FAAB6">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衬里层的其它检验要求按相关的标准中的规定。</w:t>
      </w:r>
    </w:p>
    <w:p w14:paraId="09D1A241">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9.5制造公差</w:t>
      </w:r>
    </w:p>
    <w:p w14:paraId="21B33075">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制造公差应按照相关标准规范的要求。</w:t>
      </w:r>
    </w:p>
    <w:p w14:paraId="3425DAC4">
      <w:pPr>
        <w:spacing w:line="360" w:lineRule="auto"/>
        <w:rPr>
          <w:rStyle w:val="12"/>
          <w:rFonts w:hint="eastAsia" w:asciiTheme="minorEastAsia" w:hAnsiTheme="minorEastAsia" w:eastAsiaTheme="minorEastAsia" w:cstheme="minorEastAsia"/>
          <w:sz w:val="28"/>
          <w:szCs w:val="28"/>
          <w:lang w:val="en-US" w:eastAsia="zh-CN"/>
        </w:rPr>
      </w:pPr>
      <w:bookmarkStart w:id="10" w:name="_Toc21552"/>
      <w:r>
        <w:rPr>
          <w:rStyle w:val="12"/>
          <w:rFonts w:hint="eastAsia" w:asciiTheme="minorEastAsia" w:hAnsiTheme="minorEastAsia" w:eastAsiaTheme="minorEastAsia" w:cstheme="minorEastAsia"/>
          <w:sz w:val="28"/>
          <w:szCs w:val="28"/>
          <w:lang w:val="en-US" w:eastAsia="zh-CN"/>
        </w:rPr>
        <w:t>10.试验</w:t>
      </w:r>
    </w:p>
    <w:bookmarkEnd w:id="10"/>
    <w:p w14:paraId="3FB2B73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10.1总则</w:t>
      </w:r>
    </w:p>
    <w:p w14:paraId="6D0E77B4">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10.1.1所有的试验必须在安全的条件下由合格的人员进行，且买方的检验员必须在场，除非另有协议。</w:t>
      </w:r>
    </w:p>
    <w:p w14:paraId="6A35EAFE">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10.1.2除非另有说明，所有试验必须在设备制造完毕后，如果需热处理，应在热处理后进行，但是设备的涂漆应在试验后进行。</w:t>
      </w:r>
    </w:p>
    <w:p w14:paraId="64A32E2F">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10.2射线和超声检测</w:t>
      </w:r>
    </w:p>
    <w:p w14:paraId="6DD520BF">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10.2.1射线是指X-射线，γ-射线必须在有特殊说明时才能使用。</w:t>
      </w:r>
    </w:p>
    <w:p w14:paraId="7BE92C10">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10.2.2射线或超声检测的等级程度应按照相应设计规范、东南电化公司工程图或以下各节中最严格的要求进行。</w:t>
      </w:r>
    </w:p>
    <w:p w14:paraId="2D0A7E6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10.2.3当要求进行100%射线或超声检测时，接管上的对接接头也要求进行100%射线或超声检测。</w:t>
      </w:r>
    </w:p>
    <w:p w14:paraId="64AB4CE3">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10.3着色或磁粉检测</w:t>
      </w:r>
    </w:p>
    <w:p w14:paraId="4D707D67">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下列焊接接头须进行PT或MT检测：</w:t>
      </w:r>
    </w:p>
    <w:p w14:paraId="3E7666A8">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(a)设计规范中规定的焊接接头</w:t>
      </w:r>
    </w:p>
    <w:p w14:paraId="1205E824">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(b)平焊设备法兰与壳体的最后焊道</w:t>
      </w:r>
    </w:p>
    <w:p w14:paraId="7618789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(c)补强板上的所有焊接接头</w:t>
      </w:r>
    </w:p>
    <w:p w14:paraId="0E6809DC">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(d)支腿和吊耳上的所有焊接接头</w:t>
      </w:r>
    </w:p>
    <w:p w14:paraId="6E20093D">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10.4空气和肥皂水试验</w:t>
      </w:r>
    </w:p>
    <w:p w14:paraId="7130ABE6">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补强圈应进行空气和肥皂水试验，试验压力为0.4～0.5MPa(g)，持续5分钟。注:可以用氮气替代空气。</w:t>
      </w:r>
    </w:p>
    <w:p w14:paraId="2DBB5C4D">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10.5水压试验</w:t>
      </w:r>
    </w:p>
    <w:p w14:paraId="0DA32865">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10.5.1在所有承压部件完成组装并无损检测合格后，设备应进行水压试验。</w:t>
      </w:r>
    </w:p>
    <w:p w14:paraId="5C472852">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10.5.2试验用垫片应与操作用垫片相同，试验后垫片不能再用，除非试验后的连接面不拆开，且试验用垫片在各方面与操作时的垫片都完全一样。</w:t>
      </w:r>
    </w:p>
    <w:p w14:paraId="60C5943E">
      <w:pPr>
        <w:numPr>
          <w:ilvl w:val="0"/>
          <w:numId w:val="0"/>
        </w:num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10.5.3所有设备应按照规范的要求用清水进行水压试验。</w:t>
      </w:r>
    </w:p>
    <w:p w14:paraId="3BC561CC">
      <w:pPr>
        <w:numPr>
          <w:ilvl w:val="0"/>
          <w:numId w:val="0"/>
        </w:numPr>
        <w:spacing w:line="360" w:lineRule="auto"/>
        <w:jc w:val="left"/>
        <w:rPr>
          <w:rFonts w:hint="eastAsia" w:asciiTheme="minorEastAsia" w:hAnsiTheme="minorEastAsia" w:eastAsiaTheme="minorEastAsia" w:cstheme="minorEastAsia"/>
          <w:spacing w:val="-1"/>
          <w:sz w:val="28"/>
          <w:szCs w:val="28"/>
          <w:lang w:val="en-US" w:eastAsia="zh-CN"/>
        </w:rPr>
      </w:pPr>
      <w:r>
        <w:rPr>
          <w:rFonts w:hint="eastAsia" w:asciiTheme="minorEastAsia" w:hAnsiTheme="minorEastAsia" w:eastAsiaTheme="minorEastAsia" w:cstheme="minorEastAsia"/>
          <w:spacing w:val="-1"/>
          <w:sz w:val="28"/>
          <w:szCs w:val="28"/>
          <w:lang w:val="en-US" w:eastAsia="zh-CN"/>
        </w:rPr>
        <w:t>10.5.4水压试验前设备内应清理干净，水压试验后设备内应吹干。</w:t>
      </w:r>
    </w:p>
    <w:p w14:paraId="48882918">
      <w:pPr>
        <w:spacing w:line="360" w:lineRule="auto"/>
        <w:rPr>
          <w:rStyle w:val="12"/>
          <w:rFonts w:hint="eastAsia" w:asciiTheme="minorEastAsia" w:hAnsiTheme="minorEastAsia" w:eastAsiaTheme="minorEastAsia" w:cstheme="minorEastAsia"/>
          <w:sz w:val="28"/>
          <w:szCs w:val="28"/>
          <w:lang w:val="en-US" w:eastAsia="zh-CN"/>
        </w:rPr>
      </w:pPr>
      <w:bookmarkStart w:id="11" w:name="_Toc16738"/>
      <w:r>
        <w:rPr>
          <w:rStyle w:val="12"/>
          <w:rFonts w:hint="eastAsia" w:asciiTheme="minorEastAsia" w:hAnsiTheme="minorEastAsia" w:eastAsiaTheme="minorEastAsia" w:cstheme="minorEastAsia"/>
          <w:sz w:val="28"/>
          <w:szCs w:val="28"/>
          <w:lang w:val="en-US" w:eastAsia="zh-CN"/>
        </w:rPr>
        <w:t>11.铭牌</w:t>
      </w:r>
    </w:p>
    <w:bookmarkEnd w:id="11"/>
    <w:p w14:paraId="5A1814CA">
      <w:pPr>
        <w:numPr>
          <w:ilvl w:val="0"/>
          <w:numId w:val="0"/>
        </w:numPr>
        <w:spacing w:line="360" w:lineRule="auto"/>
        <w:ind w:firstLine="556" w:firstLineChars="200"/>
        <w:jc w:val="left"/>
        <w:rPr>
          <w:rFonts w:hint="eastAsia" w:asciiTheme="minorEastAsia" w:hAnsiTheme="minorEastAsia" w:eastAsiaTheme="minorEastAsia" w:cstheme="minorEastAsia"/>
          <w:spacing w:val="-1"/>
          <w:sz w:val="28"/>
          <w:szCs w:val="28"/>
        </w:rPr>
      </w:pPr>
      <w:r>
        <w:rPr>
          <w:rFonts w:hint="eastAsia" w:asciiTheme="minorEastAsia" w:hAnsiTheme="minorEastAsia" w:eastAsiaTheme="minorEastAsia" w:cstheme="minorEastAsia"/>
          <w:spacing w:val="-1"/>
          <w:sz w:val="28"/>
          <w:szCs w:val="28"/>
        </w:rPr>
        <w:t>在适当的明显位置钉上产品标牌。标牌的尺寸技术要求应符合《产品标牌》的规定。标牌材质为316不锈钢，数据采用刻印方式标记，并用铆钉或螺丝固地固定在设备显眼位置，严禁采用粘贴方式。</w:t>
      </w:r>
    </w:p>
    <w:p w14:paraId="64C347FA">
      <w:pPr>
        <w:numPr>
          <w:ilvl w:val="0"/>
          <w:numId w:val="0"/>
        </w:numPr>
        <w:spacing w:line="360" w:lineRule="auto"/>
        <w:jc w:val="left"/>
        <w:rPr>
          <w:rFonts w:hint="eastAsia" w:asciiTheme="minorEastAsia" w:hAnsiTheme="minorEastAsia" w:eastAsiaTheme="minorEastAsia" w:cstheme="minorEastAsia"/>
          <w:spacing w:val="-1"/>
          <w:sz w:val="28"/>
          <w:szCs w:val="28"/>
        </w:rPr>
      </w:pPr>
      <w:r>
        <w:rPr>
          <w:rFonts w:hint="eastAsia" w:asciiTheme="minorEastAsia" w:hAnsiTheme="minorEastAsia" w:eastAsiaTheme="minorEastAsia" w:cstheme="minorEastAsia"/>
          <w:spacing w:val="-1"/>
          <w:sz w:val="28"/>
          <w:szCs w:val="28"/>
        </w:rPr>
        <w:t>其上应注明:</w:t>
      </w:r>
    </w:p>
    <w:p w14:paraId="71D63623">
      <w:pPr>
        <w:numPr>
          <w:ilvl w:val="0"/>
          <w:numId w:val="0"/>
        </w:numPr>
        <w:spacing w:line="360" w:lineRule="auto"/>
        <w:jc w:val="left"/>
        <w:rPr>
          <w:rFonts w:hint="eastAsia" w:asciiTheme="minorEastAsia" w:hAnsiTheme="minorEastAsia" w:eastAsiaTheme="minorEastAsia" w:cstheme="minorEastAsia"/>
          <w:spacing w:val="-1"/>
          <w:sz w:val="28"/>
          <w:szCs w:val="28"/>
        </w:rPr>
      </w:pPr>
      <w:r>
        <w:rPr>
          <w:rFonts w:hint="eastAsia" w:asciiTheme="minorEastAsia" w:hAnsiTheme="minorEastAsia" w:eastAsiaTheme="minorEastAsia" w:cstheme="minorEastAsia"/>
          <w:spacing w:val="-1"/>
          <w:sz w:val="28"/>
          <w:szCs w:val="28"/>
        </w:rPr>
        <w:t>—制造厂名称;—产品名称及型号;—产品的性能参数;—产品编号和制造日期</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rPr>
        <w:t>—</w:t>
      </w:r>
      <w:r>
        <w:rPr>
          <w:rFonts w:hint="eastAsia" w:asciiTheme="minorEastAsia" w:hAnsiTheme="minorEastAsia" w:eastAsiaTheme="minorEastAsia" w:cstheme="minorEastAsia"/>
          <w:spacing w:val="-1"/>
          <w:sz w:val="28"/>
          <w:szCs w:val="28"/>
          <w:lang w:val="en-US" w:eastAsia="zh-CN"/>
        </w:rPr>
        <w:t>设备名称及位号</w:t>
      </w:r>
      <w:r>
        <w:rPr>
          <w:rFonts w:hint="eastAsia" w:asciiTheme="minorEastAsia" w:hAnsiTheme="minorEastAsia" w:eastAsiaTheme="minorEastAsia" w:cstheme="minorEastAsia"/>
          <w:spacing w:val="-1"/>
          <w:sz w:val="28"/>
          <w:szCs w:val="28"/>
        </w:rPr>
        <w:t>。</w:t>
      </w:r>
    </w:p>
    <w:p w14:paraId="1EDA0065">
      <w:pPr>
        <w:spacing w:line="360" w:lineRule="auto"/>
        <w:rPr>
          <w:rStyle w:val="12"/>
          <w:rFonts w:hint="eastAsia" w:asciiTheme="minorEastAsia" w:hAnsiTheme="minorEastAsia" w:eastAsiaTheme="minorEastAsia" w:cstheme="minorEastAsia"/>
          <w:sz w:val="28"/>
          <w:szCs w:val="28"/>
          <w:lang w:eastAsia="zh-CN"/>
        </w:rPr>
      </w:pPr>
      <w:bookmarkStart w:id="12" w:name="_Toc19450"/>
      <w:r>
        <w:rPr>
          <w:rStyle w:val="12"/>
          <w:rFonts w:hint="eastAsia" w:asciiTheme="minorEastAsia" w:hAnsiTheme="minorEastAsia" w:eastAsiaTheme="minorEastAsia" w:cstheme="minorEastAsia"/>
          <w:sz w:val="28"/>
          <w:szCs w:val="28"/>
          <w:lang w:val="en-US" w:eastAsia="zh-CN"/>
        </w:rPr>
        <w:t>12</w:t>
      </w:r>
      <w:r>
        <w:rPr>
          <w:rStyle w:val="12"/>
          <w:rFonts w:hint="eastAsia" w:asciiTheme="minorEastAsia" w:hAnsiTheme="minorEastAsia" w:eastAsiaTheme="minorEastAsia" w:cstheme="minorEastAsia"/>
          <w:sz w:val="28"/>
          <w:szCs w:val="28"/>
          <w:lang w:eastAsia="zh-CN"/>
        </w:rPr>
        <w:t>.备件和特殊工具</w:t>
      </w:r>
    </w:p>
    <w:bookmarkEnd w:id="12"/>
    <w:p w14:paraId="3F854BA7">
      <w:pPr>
        <w:numPr>
          <w:ilvl w:val="0"/>
          <w:numId w:val="0"/>
        </w:numPr>
        <w:spacing w:line="360" w:lineRule="auto"/>
        <w:ind w:firstLine="556" w:firstLineChars="200"/>
        <w:jc w:val="left"/>
        <w:rPr>
          <w:rFonts w:hint="eastAsia" w:asciiTheme="minorEastAsia" w:hAnsiTheme="minorEastAsia" w:eastAsiaTheme="minorEastAsia" w:cstheme="minorEastAsia"/>
          <w:spacing w:val="-1"/>
          <w:sz w:val="28"/>
          <w:szCs w:val="28"/>
          <w:lang w:eastAsia="zh-CN"/>
        </w:rPr>
      </w:pPr>
      <w:r>
        <w:rPr>
          <w:rFonts w:hint="eastAsia" w:asciiTheme="minorEastAsia" w:hAnsiTheme="minorEastAsia" w:eastAsiaTheme="minorEastAsia" w:cstheme="minorEastAsia"/>
          <w:spacing w:val="-1"/>
          <w:sz w:val="28"/>
          <w:szCs w:val="28"/>
          <w:lang w:eastAsia="zh-CN"/>
        </w:rPr>
        <w:t>除非在合同中另有规定，备件通常应包含如下：每个规格类型配10%螺柱、螺母(套)且至少2套；每个安装垫片备用2个垫片。</w:t>
      </w:r>
    </w:p>
    <w:p w14:paraId="522DF86C">
      <w:pPr>
        <w:spacing w:line="360" w:lineRule="auto"/>
        <w:rPr>
          <w:rStyle w:val="12"/>
          <w:rFonts w:hint="eastAsia" w:asciiTheme="minorEastAsia" w:hAnsiTheme="minorEastAsia" w:eastAsiaTheme="minorEastAsia" w:cstheme="minorEastAsia"/>
          <w:sz w:val="28"/>
          <w:szCs w:val="28"/>
          <w:lang w:val="en-US" w:eastAsia="zh-CN"/>
        </w:rPr>
      </w:pPr>
      <w:bookmarkStart w:id="13" w:name="_Toc13339"/>
      <w:r>
        <w:rPr>
          <w:rStyle w:val="12"/>
          <w:rFonts w:hint="eastAsia" w:asciiTheme="minorEastAsia" w:hAnsiTheme="minorEastAsia" w:eastAsiaTheme="minorEastAsia" w:cstheme="minorEastAsia"/>
          <w:sz w:val="28"/>
          <w:szCs w:val="28"/>
          <w:lang w:val="en-US" w:eastAsia="zh-CN"/>
        </w:rPr>
        <w:t>13.准备发货</w:t>
      </w:r>
    </w:p>
    <w:bookmarkEnd w:id="13"/>
    <w:p w14:paraId="61C2010D">
      <w:pPr>
        <w:numPr>
          <w:ilvl w:val="0"/>
          <w:numId w:val="0"/>
        </w:numPr>
        <w:spacing w:line="360" w:lineRule="auto"/>
        <w:jc w:val="left"/>
        <w:rPr>
          <w:rFonts w:hint="eastAsia" w:asciiTheme="minorEastAsia" w:hAnsiTheme="minorEastAsia" w:eastAsiaTheme="minorEastAsia" w:cstheme="minorEastAsia"/>
          <w:spacing w:val="-1"/>
          <w:sz w:val="28"/>
          <w:szCs w:val="28"/>
          <w:lang w:eastAsia="zh-CN"/>
        </w:rPr>
      </w:pPr>
      <w:r>
        <w:rPr>
          <w:rFonts w:hint="eastAsia" w:asciiTheme="minorEastAsia" w:hAnsiTheme="minorEastAsia" w:eastAsiaTheme="minorEastAsia" w:cstheme="minorEastAsia"/>
          <w:spacing w:val="-1"/>
          <w:sz w:val="28"/>
          <w:szCs w:val="28"/>
          <w:lang w:eastAsia="zh-CN"/>
        </w:rPr>
        <w:t>1</w:t>
      </w:r>
      <w:r>
        <w:rPr>
          <w:rFonts w:hint="eastAsia" w:asciiTheme="minorEastAsia" w:hAnsiTheme="minorEastAsia" w:eastAsiaTheme="minorEastAsia" w:cstheme="minorEastAsia"/>
          <w:spacing w:val="-1"/>
          <w:sz w:val="28"/>
          <w:szCs w:val="28"/>
          <w:lang w:val="en-US" w:eastAsia="zh-CN"/>
        </w:rPr>
        <w:t>3</w:t>
      </w:r>
      <w:r>
        <w:rPr>
          <w:rFonts w:hint="eastAsia" w:asciiTheme="minorEastAsia" w:hAnsiTheme="minorEastAsia" w:eastAsiaTheme="minorEastAsia" w:cstheme="minorEastAsia"/>
          <w:spacing w:val="-1"/>
          <w:sz w:val="28"/>
          <w:szCs w:val="28"/>
          <w:lang w:eastAsia="zh-CN"/>
        </w:rPr>
        <w:t>.1所有开口的法兰应用螺栓将橡胶垫和金属或木盖固定好。所有的螺纹连接应配上螺塞，暴露的螺纹应配上螺纹保护套。检漏孔应塞满油脂。</w:t>
      </w:r>
    </w:p>
    <w:p w14:paraId="6F1EC0D3">
      <w:pPr>
        <w:numPr>
          <w:ilvl w:val="0"/>
          <w:numId w:val="0"/>
        </w:numPr>
        <w:spacing w:line="360" w:lineRule="auto"/>
        <w:jc w:val="left"/>
        <w:rPr>
          <w:rFonts w:hint="eastAsia" w:asciiTheme="minorEastAsia" w:hAnsiTheme="minorEastAsia" w:eastAsiaTheme="minorEastAsia" w:cstheme="minorEastAsia"/>
          <w:spacing w:val="-1"/>
          <w:sz w:val="28"/>
          <w:szCs w:val="28"/>
          <w:lang w:eastAsia="zh-CN"/>
        </w:rPr>
      </w:pPr>
      <w:r>
        <w:rPr>
          <w:rFonts w:hint="eastAsia" w:asciiTheme="minorEastAsia" w:hAnsiTheme="minorEastAsia" w:eastAsiaTheme="minorEastAsia" w:cstheme="minorEastAsia"/>
          <w:spacing w:val="-1"/>
          <w:sz w:val="28"/>
          <w:szCs w:val="28"/>
          <w:lang w:eastAsia="zh-CN"/>
        </w:rPr>
        <w:t>1</w:t>
      </w:r>
      <w:r>
        <w:rPr>
          <w:rFonts w:hint="eastAsia" w:asciiTheme="minorEastAsia" w:hAnsiTheme="minorEastAsia" w:eastAsiaTheme="minorEastAsia" w:cstheme="minorEastAsia"/>
          <w:spacing w:val="-1"/>
          <w:sz w:val="28"/>
          <w:szCs w:val="28"/>
          <w:lang w:val="en-US" w:eastAsia="zh-CN"/>
        </w:rPr>
        <w:t>3</w:t>
      </w:r>
      <w:r>
        <w:rPr>
          <w:rFonts w:hint="eastAsia" w:asciiTheme="minorEastAsia" w:hAnsiTheme="minorEastAsia" w:eastAsiaTheme="minorEastAsia" w:cstheme="minorEastAsia"/>
          <w:spacing w:val="-1"/>
          <w:sz w:val="28"/>
          <w:szCs w:val="28"/>
          <w:lang w:eastAsia="zh-CN"/>
        </w:rPr>
        <w:t>.2备用垫片、螺栓、螺母等和其它散件应与设备分开包装。包装应便于现场储存且应明显而永久地标明下列内容：</w:t>
      </w:r>
    </w:p>
    <w:p w14:paraId="321B2497">
      <w:pPr>
        <w:numPr>
          <w:ilvl w:val="0"/>
          <w:numId w:val="0"/>
        </w:numPr>
        <w:spacing w:line="360" w:lineRule="auto"/>
        <w:jc w:val="left"/>
        <w:rPr>
          <w:rFonts w:hint="eastAsia" w:asciiTheme="minorEastAsia" w:hAnsiTheme="minorEastAsia" w:eastAsiaTheme="minorEastAsia" w:cstheme="minorEastAsia"/>
          <w:spacing w:val="-1"/>
          <w:sz w:val="28"/>
          <w:szCs w:val="28"/>
          <w:lang w:eastAsia="zh-CN"/>
        </w:rPr>
      </w:pPr>
      <w:r>
        <w:rPr>
          <w:rFonts w:hint="eastAsia" w:asciiTheme="minorEastAsia" w:hAnsiTheme="minorEastAsia" w:eastAsiaTheme="minorEastAsia" w:cstheme="minorEastAsia"/>
          <w:spacing w:val="-1"/>
          <w:sz w:val="28"/>
          <w:szCs w:val="28"/>
          <w:lang w:eastAsia="zh-CN"/>
        </w:rPr>
        <w:t>——买方的订单号</w:t>
      </w:r>
    </w:p>
    <w:p w14:paraId="05DAED0F">
      <w:pPr>
        <w:numPr>
          <w:ilvl w:val="0"/>
          <w:numId w:val="0"/>
        </w:numPr>
        <w:spacing w:line="360" w:lineRule="auto"/>
        <w:jc w:val="left"/>
        <w:rPr>
          <w:rFonts w:hint="eastAsia" w:asciiTheme="minorEastAsia" w:hAnsiTheme="minorEastAsia" w:eastAsiaTheme="minorEastAsia" w:cstheme="minorEastAsia"/>
          <w:spacing w:val="-1"/>
          <w:sz w:val="28"/>
          <w:szCs w:val="28"/>
          <w:lang w:eastAsia="zh-CN"/>
        </w:rPr>
      </w:pPr>
      <w:r>
        <w:rPr>
          <w:rFonts w:hint="eastAsia" w:asciiTheme="minorEastAsia" w:hAnsiTheme="minorEastAsia" w:eastAsiaTheme="minorEastAsia" w:cstheme="minorEastAsia"/>
          <w:spacing w:val="-1"/>
          <w:sz w:val="28"/>
          <w:szCs w:val="28"/>
          <w:lang w:eastAsia="zh-CN"/>
        </w:rPr>
        <w:t>——设备位号（所属设备）</w:t>
      </w:r>
    </w:p>
    <w:p w14:paraId="27AE052A">
      <w:pPr>
        <w:numPr>
          <w:ilvl w:val="0"/>
          <w:numId w:val="0"/>
        </w:numPr>
        <w:spacing w:line="360" w:lineRule="auto"/>
        <w:jc w:val="left"/>
        <w:rPr>
          <w:rFonts w:hint="eastAsia" w:asciiTheme="minorEastAsia" w:hAnsiTheme="minorEastAsia" w:eastAsiaTheme="minorEastAsia" w:cstheme="minorEastAsia"/>
          <w:spacing w:val="-1"/>
          <w:sz w:val="28"/>
          <w:szCs w:val="28"/>
          <w:lang w:eastAsia="zh-CN"/>
        </w:rPr>
      </w:pPr>
      <w:r>
        <w:rPr>
          <w:rFonts w:hint="eastAsia" w:asciiTheme="minorEastAsia" w:hAnsiTheme="minorEastAsia" w:eastAsiaTheme="minorEastAsia" w:cstheme="minorEastAsia"/>
          <w:spacing w:val="-1"/>
          <w:sz w:val="28"/>
          <w:szCs w:val="28"/>
          <w:lang w:eastAsia="zh-CN"/>
        </w:rPr>
        <w:t>1</w:t>
      </w:r>
      <w:r>
        <w:rPr>
          <w:rFonts w:hint="eastAsia" w:asciiTheme="minorEastAsia" w:hAnsiTheme="minorEastAsia" w:eastAsiaTheme="minorEastAsia" w:cstheme="minorEastAsia"/>
          <w:spacing w:val="-1"/>
          <w:sz w:val="28"/>
          <w:szCs w:val="28"/>
          <w:lang w:val="en-US" w:eastAsia="zh-CN"/>
        </w:rPr>
        <w:t>3</w:t>
      </w:r>
      <w:r>
        <w:rPr>
          <w:rFonts w:hint="eastAsia" w:asciiTheme="minorEastAsia" w:hAnsiTheme="minorEastAsia" w:eastAsiaTheme="minorEastAsia" w:cstheme="minorEastAsia"/>
          <w:spacing w:val="-1"/>
          <w:sz w:val="28"/>
          <w:szCs w:val="28"/>
          <w:lang w:eastAsia="zh-CN"/>
        </w:rPr>
        <w:t>.3供货厂商在运输过程中负责装载、固定和保护设备而不受损坏。在装卸过程中应采取措施保证缆绳、绳索、链子等不损坏涂漆表面。当需要时应提供运输用的鞍座。</w:t>
      </w:r>
    </w:p>
    <w:p w14:paraId="71688E19">
      <w:pPr>
        <w:numPr>
          <w:ilvl w:val="0"/>
          <w:numId w:val="0"/>
        </w:numPr>
        <w:spacing w:line="360" w:lineRule="auto"/>
        <w:jc w:val="left"/>
        <w:rPr>
          <w:rFonts w:hint="eastAsia" w:asciiTheme="minorEastAsia" w:hAnsiTheme="minorEastAsia" w:eastAsiaTheme="minorEastAsia" w:cstheme="minorEastAsia"/>
          <w:spacing w:val="-1"/>
          <w:sz w:val="28"/>
          <w:szCs w:val="28"/>
          <w:lang w:eastAsia="zh-CN"/>
        </w:rPr>
      </w:pPr>
      <w:r>
        <w:rPr>
          <w:rFonts w:hint="eastAsia" w:asciiTheme="minorEastAsia" w:hAnsiTheme="minorEastAsia" w:eastAsiaTheme="minorEastAsia" w:cstheme="minorEastAsia"/>
          <w:spacing w:val="-1"/>
          <w:sz w:val="28"/>
          <w:szCs w:val="28"/>
          <w:lang w:eastAsia="zh-CN"/>
        </w:rPr>
        <w:t>1</w:t>
      </w:r>
      <w:r>
        <w:rPr>
          <w:rFonts w:hint="eastAsia" w:asciiTheme="minorEastAsia" w:hAnsiTheme="minorEastAsia" w:eastAsiaTheme="minorEastAsia" w:cstheme="minorEastAsia"/>
          <w:spacing w:val="-1"/>
          <w:sz w:val="28"/>
          <w:szCs w:val="28"/>
          <w:lang w:val="en-US" w:eastAsia="zh-CN"/>
        </w:rPr>
        <w:t>3</w:t>
      </w:r>
      <w:r>
        <w:rPr>
          <w:rFonts w:hint="eastAsia" w:asciiTheme="minorEastAsia" w:hAnsiTheme="minorEastAsia" w:eastAsiaTheme="minorEastAsia" w:cstheme="minorEastAsia"/>
          <w:spacing w:val="-1"/>
          <w:sz w:val="28"/>
          <w:szCs w:val="28"/>
          <w:lang w:eastAsia="zh-CN"/>
        </w:rPr>
        <w:t>.4所有设备上应在明显的位置标注识别标记。</w:t>
      </w:r>
    </w:p>
    <w:p w14:paraId="67957C22">
      <w:pPr>
        <w:spacing w:line="360" w:lineRule="auto"/>
        <w:rPr>
          <w:rStyle w:val="12"/>
          <w:rFonts w:hint="eastAsia" w:asciiTheme="minorEastAsia" w:hAnsiTheme="minorEastAsia" w:eastAsiaTheme="minorEastAsia" w:cstheme="minorEastAsia"/>
          <w:sz w:val="28"/>
          <w:szCs w:val="28"/>
        </w:rPr>
      </w:pPr>
      <w:bookmarkStart w:id="14" w:name="_Toc10412"/>
      <w:r>
        <w:rPr>
          <w:rStyle w:val="12"/>
          <w:rFonts w:hint="eastAsia" w:asciiTheme="minorEastAsia" w:hAnsiTheme="minorEastAsia" w:eastAsiaTheme="minorEastAsia" w:cstheme="minorEastAsia"/>
          <w:sz w:val="28"/>
          <w:szCs w:val="28"/>
        </w:rPr>
        <w:t>1</w:t>
      </w:r>
      <w:r>
        <w:rPr>
          <w:rStyle w:val="12"/>
          <w:rFonts w:hint="eastAsia" w:asciiTheme="minorEastAsia" w:hAnsiTheme="minorEastAsia" w:eastAsiaTheme="minorEastAsia" w:cstheme="minorEastAsia"/>
          <w:sz w:val="28"/>
          <w:szCs w:val="28"/>
          <w:lang w:val="en-US" w:eastAsia="zh-CN"/>
        </w:rPr>
        <w:t>4</w:t>
      </w:r>
      <w:r>
        <w:rPr>
          <w:rStyle w:val="12"/>
          <w:rFonts w:hint="eastAsia" w:asciiTheme="minorEastAsia" w:hAnsiTheme="minorEastAsia" w:eastAsiaTheme="minorEastAsia" w:cstheme="minorEastAsia"/>
          <w:sz w:val="28"/>
          <w:szCs w:val="28"/>
        </w:rPr>
        <w:t>. 售后服务</w:t>
      </w:r>
    </w:p>
    <w:bookmarkEnd w:id="14"/>
    <w:p w14:paraId="28AE116E">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设备在安装过程中，如果需要，卖方应及时到现场进行安装指导</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设备在运输、安装和试 车过程中发生的任何损坏，卖方应当及时配合买方进行修复；设备在运行过程中发生的任何问题，卖方应当及时配合买方和业主进行处理。</w:t>
      </w:r>
    </w:p>
    <w:p w14:paraId="579BA7D7">
      <w:pPr>
        <w:spacing w:line="360" w:lineRule="auto"/>
        <w:rPr>
          <w:rStyle w:val="12"/>
          <w:rFonts w:hint="eastAsia" w:asciiTheme="minorEastAsia" w:hAnsiTheme="minorEastAsia" w:eastAsiaTheme="minorEastAsia" w:cstheme="minorEastAsia"/>
          <w:sz w:val="28"/>
          <w:szCs w:val="28"/>
        </w:rPr>
      </w:pPr>
      <w:bookmarkStart w:id="15" w:name="_Toc13837"/>
      <w:r>
        <w:rPr>
          <w:rStyle w:val="12"/>
          <w:rFonts w:hint="eastAsia" w:asciiTheme="minorEastAsia" w:hAnsiTheme="minorEastAsia" w:eastAsiaTheme="minorEastAsia" w:cstheme="minorEastAsia"/>
          <w:sz w:val="28"/>
          <w:szCs w:val="28"/>
        </w:rPr>
        <w:t>1</w:t>
      </w:r>
      <w:r>
        <w:rPr>
          <w:rStyle w:val="12"/>
          <w:rFonts w:hint="eastAsia" w:asciiTheme="minorEastAsia" w:hAnsiTheme="minorEastAsia" w:eastAsiaTheme="minorEastAsia" w:cstheme="minorEastAsia"/>
          <w:sz w:val="28"/>
          <w:szCs w:val="28"/>
          <w:lang w:val="en-US" w:eastAsia="zh-CN"/>
        </w:rPr>
        <w:t>5</w:t>
      </w:r>
      <w:r>
        <w:rPr>
          <w:rStyle w:val="12"/>
          <w:rFonts w:hint="eastAsia" w:asciiTheme="minorEastAsia" w:hAnsiTheme="minorEastAsia" w:eastAsiaTheme="minorEastAsia" w:cstheme="minorEastAsia"/>
          <w:sz w:val="28"/>
          <w:szCs w:val="28"/>
        </w:rPr>
        <w:t>. 卖方责任</w:t>
      </w:r>
    </w:p>
    <w:bookmarkEnd w:id="15"/>
    <w:p w14:paraId="74A4B3B0">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卖方应当按照买卖双方的保密协议对买方提供的文件采取保密措施。</w:t>
      </w:r>
    </w:p>
    <w:p w14:paraId="24675011">
      <w:pPr>
        <w:spacing w:line="360" w:lineRule="auto"/>
        <w:rPr>
          <w:rStyle w:val="12"/>
          <w:rFonts w:hint="eastAsia" w:asciiTheme="minorEastAsia" w:hAnsiTheme="minorEastAsia" w:eastAsiaTheme="minorEastAsia" w:cstheme="minorEastAsia"/>
          <w:sz w:val="28"/>
          <w:szCs w:val="28"/>
        </w:rPr>
      </w:pPr>
      <w:bookmarkStart w:id="16" w:name="_Toc14044"/>
      <w:r>
        <w:rPr>
          <w:rStyle w:val="12"/>
          <w:rFonts w:hint="eastAsia" w:asciiTheme="minorEastAsia" w:hAnsiTheme="minorEastAsia" w:eastAsiaTheme="minorEastAsia" w:cstheme="minorEastAsia"/>
          <w:sz w:val="28"/>
          <w:szCs w:val="28"/>
        </w:rPr>
        <w:t>1</w:t>
      </w:r>
      <w:r>
        <w:rPr>
          <w:rStyle w:val="12"/>
          <w:rFonts w:hint="eastAsia" w:asciiTheme="minorEastAsia" w:hAnsiTheme="minorEastAsia" w:eastAsiaTheme="minorEastAsia" w:cstheme="minorEastAsia"/>
          <w:sz w:val="28"/>
          <w:szCs w:val="28"/>
          <w:lang w:val="en-US" w:eastAsia="zh-CN"/>
        </w:rPr>
        <w:t>6</w:t>
      </w:r>
      <w:r>
        <w:rPr>
          <w:rStyle w:val="12"/>
          <w:rFonts w:hint="eastAsia" w:asciiTheme="minorEastAsia" w:hAnsiTheme="minorEastAsia" w:eastAsiaTheme="minorEastAsia" w:cstheme="minorEastAsia"/>
          <w:sz w:val="28"/>
          <w:szCs w:val="28"/>
        </w:rPr>
        <w:t>. 技术协调会</w:t>
      </w:r>
    </w:p>
    <w:bookmarkEnd w:id="16"/>
    <w:p w14:paraId="793C5C20">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在订单得到并收到买方的通知后，卖方应派遣足够且合格的人员按照下列日期</w:t>
      </w:r>
      <w:r>
        <w:rPr>
          <w:rFonts w:hint="eastAsia" w:asciiTheme="minorEastAsia" w:hAnsiTheme="minorEastAsia" w:eastAsiaTheme="minorEastAsia" w:cstheme="minorEastAsia"/>
          <w:sz w:val="28"/>
          <w:szCs w:val="28"/>
          <w:lang w:val="en-US" w:eastAsia="zh-CN"/>
        </w:rPr>
        <w:t>参与</w:t>
      </w:r>
      <w:r>
        <w:rPr>
          <w:rFonts w:hint="eastAsia" w:asciiTheme="minorEastAsia" w:hAnsiTheme="minorEastAsia" w:eastAsiaTheme="minorEastAsia" w:cstheme="minorEastAsia"/>
          <w:sz w:val="28"/>
          <w:szCs w:val="28"/>
        </w:rPr>
        <w:t>技术协调会议。会议上应当确认和讨论进度、组织机构、工作程序、卖方文件清单（包括提交计划）和其他未澄清项。</w:t>
      </w:r>
    </w:p>
    <w:p w14:paraId="5B937F5F">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开工会：得到订单通知（</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rPr>
        <w:t>）周后</w:t>
      </w:r>
      <w:r>
        <w:rPr>
          <w:rFonts w:hint="eastAsia" w:asciiTheme="minorEastAsia" w:hAnsiTheme="minorEastAsia" w:eastAsiaTheme="minorEastAsia" w:cstheme="minorEastAsia"/>
          <w:sz w:val="28"/>
          <w:szCs w:val="28"/>
          <w:lang w:eastAsia="zh-CN"/>
        </w:rPr>
        <w:t>。</w:t>
      </w:r>
    </w:p>
    <w:p w14:paraId="04DC3E1C">
      <w:pPr>
        <w:spacing w:line="360" w:lineRule="auto"/>
        <w:rPr>
          <w:rFonts w:hint="eastAsia" w:asciiTheme="minorEastAsia" w:hAnsiTheme="minorEastAsia" w:eastAsiaTheme="minorEastAsia" w:cstheme="minorEastAsia"/>
          <w:sz w:val="28"/>
          <w:szCs w:val="28"/>
          <w:lang w:eastAsia="zh-CN"/>
        </w:rPr>
      </w:pPr>
    </w:p>
    <w:p w14:paraId="7BE69A29">
      <w:pPr>
        <w:spacing w:line="360" w:lineRule="auto"/>
        <w:rPr>
          <w:rFonts w:hint="eastAsia" w:asciiTheme="minorEastAsia" w:hAnsiTheme="minorEastAsia" w:eastAsiaTheme="minorEastAsia" w:cstheme="minorEastAsia"/>
          <w:sz w:val="28"/>
          <w:szCs w:val="28"/>
          <w:lang w:val="en-US" w:eastAsia="zh-CN"/>
        </w:rPr>
      </w:pPr>
    </w:p>
    <w:p w14:paraId="54FDC955">
      <w:pPr>
        <w:spacing w:line="360" w:lineRule="auto"/>
        <w:rPr>
          <w:rStyle w:val="12"/>
          <w:rFonts w:hint="default" w:asciiTheme="minorEastAsia" w:hAnsiTheme="minorEastAsia" w:eastAsiaTheme="minorEastAsia" w:cstheme="minorEastAsia"/>
          <w:sz w:val="28"/>
          <w:szCs w:val="28"/>
          <w:lang w:val="en-US" w:eastAsia="zh-CN"/>
        </w:rPr>
      </w:pPr>
      <w:bookmarkStart w:id="17" w:name="_Toc15115"/>
      <w:r>
        <w:rPr>
          <w:rStyle w:val="12"/>
          <w:rFonts w:hint="eastAsia" w:asciiTheme="minorEastAsia" w:hAnsiTheme="minorEastAsia" w:eastAsiaTheme="minorEastAsia" w:cstheme="minorEastAsia"/>
          <w:sz w:val="28"/>
          <w:szCs w:val="28"/>
          <w:lang w:val="en-US" w:eastAsia="zh-CN"/>
        </w:rPr>
        <w:t>17.附件一</w:t>
      </w:r>
    </w:p>
    <w:bookmarkEnd w:id="17"/>
    <w:p w14:paraId="75B7DE0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Style w:val="12"/>
          <w:rFonts w:hint="eastAsia" w:asciiTheme="minorEastAsia" w:hAnsiTheme="minorEastAsia" w:eastAsiaTheme="minorEastAsia" w:cstheme="minorEastAsia"/>
          <w:b/>
          <w:sz w:val="28"/>
          <w:szCs w:val="28"/>
          <w:lang w:val="en-US" w:eastAsia="zh-CN"/>
        </w:rPr>
      </w:pPr>
      <w:bookmarkStart w:id="18" w:name="_Toc22108"/>
      <w:r>
        <w:rPr>
          <w:rStyle w:val="12"/>
          <w:rFonts w:hint="eastAsia" w:asciiTheme="minorEastAsia" w:hAnsiTheme="minorEastAsia" w:eastAsiaTheme="minorEastAsia" w:cstheme="minorEastAsia"/>
          <w:b/>
          <w:sz w:val="28"/>
          <w:szCs w:val="28"/>
          <w:lang w:val="en-US" w:eastAsia="zh-CN"/>
        </w:rPr>
        <w:t>玻璃鳞片涂料防腐施工技术要求</w:t>
      </w:r>
      <w:bookmarkEnd w:id="18"/>
    </w:p>
    <w:p w14:paraId="3585BE0D">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1.总则</w:t>
      </w:r>
    </w:p>
    <w:p w14:paraId="7CA838A2">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本技术要求适用于福建省东南电化股份公司编制的碳钢制化工设备的内壁及内件表面进行鳞片涂料防腐衬里层的施工、检验和验收。</w:t>
      </w:r>
    </w:p>
    <w:p w14:paraId="6DC58D86">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2.原材料</w:t>
      </w:r>
    </w:p>
    <w:p w14:paraId="70CD81B4">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2.1 鳞片树脂涂料包括:底漆、面漆、乙烯基酯玻璃鳞片涂料。</w:t>
      </w:r>
    </w:p>
    <w:p w14:paraId="235A24A7">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2.2 玻璃钢采用乙烯基酯玻璃钢,其中玻璃布为无碱无蜡玻璃布,其规格为EWR220。</w:t>
      </w:r>
    </w:p>
    <w:p w14:paraId="23FAA20C">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2.3 上述乙烯基酯树脂应为双酚 A 型环氧乙烯基酯树脂，如 Swancor901或 Derakane 411。</w:t>
      </w:r>
    </w:p>
    <w:p w14:paraId="583B39C0">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3.施工技术要求</w:t>
      </w:r>
    </w:p>
    <w:p w14:paraId="39893EA6">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3.1    防腐施工前，设备应是按图纸要求制造完毕及检验合格。所有的预焊件，如吊耳、保温钉（如果有的话）均应焊接完成，确认设备防腐施工后不再施焊。</w:t>
      </w:r>
    </w:p>
    <w:p w14:paraId="46C28E4D">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3.2    防腐施工的程序应按下面的要求：</w:t>
      </w:r>
    </w:p>
    <w:p w14:paraId="78AAF240">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3.2.1 表面处理及第一道底漆，该工序应 8 小时内完成，并自然固化 8 小时以上。</w:t>
      </w:r>
    </w:p>
    <w:p w14:paraId="276EA874">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3.2.2 刮腻子（抹胶泥）。</w:t>
      </w:r>
    </w:p>
    <w:p w14:paraId="2BDD25F3">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3.2.3 第二道底漆，并自然固化 8 小时以上。</w:t>
      </w:r>
    </w:p>
    <w:p w14:paraId="0FC54430">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3.2.4 涂刷 2～3道鳞片涂料，每道涂料完成后应自然固化 12 小时以上，按要求检验合格后方能进行下一道施工。在设备拐角、支承等施工不易保证质量及冲刷严重受力较大部位,应采用玻璃钢予以加强。贴衬玻璃钢加强时,应贴衬在二层涂料之后,其搭接部分不应少于 50mm。</w:t>
      </w:r>
    </w:p>
    <w:p w14:paraId="0A09CED5">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3.2.5 第一道面漆，并自然固化 8 小时以上。</w:t>
      </w:r>
    </w:p>
    <w:p w14:paraId="50F7964E">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3.2.6 第二道面漆，并自然固化 7 天以上。</w:t>
      </w:r>
    </w:p>
    <w:p w14:paraId="7453DCA6">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3.2.7 最终检验。</w:t>
      </w:r>
    </w:p>
    <w:p w14:paraId="491D000E">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3.2.8 养护 7 天以上。</w:t>
      </w:r>
    </w:p>
    <w:p w14:paraId="53B4A0BE">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3.2.9 如遇特殊情况,每道涂料的固化时间超过 7 天时,在涂下一道涂料前,应用酒精擦洗表面或用砂纸打磨后方能涂刷下一道涂料。</w:t>
      </w:r>
    </w:p>
    <w:p w14:paraId="529D16DC">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3.3 表面处理应按 01-00-0000-32-001（E10011  ）“防腐涂层及衬里的设备钢壳表面处理施工技术要求”的规定进行，且达到二级质量指标的要求。</w:t>
      </w:r>
    </w:p>
    <w:p w14:paraId="33E663DD">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3.4 防腐要求</w:t>
      </w:r>
    </w:p>
    <w:p w14:paraId="3DEC8F0C">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3.4.1 防腐涂层的要求：二道底漆+2～3 道涂料+(如果需要,1 层FRP 增强)+二道面漆。</w:t>
      </w:r>
    </w:p>
    <w:p w14:paraId="545AA556">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3.4.2 施工方法</w:t>
      </w:r>
    </w:p>
    <w:p w14:paraId="62B8EFB7">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底漆采用刷涂的方法;面漆和鳞片涂料采用滚涂的方法,对不能滚涂的部位采用刷涂。</w:t>
      </w:r>
    </w:p>
    <w:p w14:paraId="0BFB6D32">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3.4.3  涂料的底漆、面漆、腻子、鳞片涂料的配比(重量比)按下面的规定:底漆:固化剂=100:15～20</w:t>
      </w:r>
    </w:p>
    <w:p w14:paraId="1CE7652E">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面漆:  固化剂=100:15～20</w:t>
      </w:r>
    </w:p>
    <w:p w14:paraId="3DD8CD09">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鳞片涂料:  固化剂=100:10～15</w:t>
      </w:r>
    </w:p>
    <w:p w14:paraId="1C1520C8">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具体的配方应根据施工时的环境温度、湿度通过实验确定。</w:t>
      </w:r>
    </w:p>
    <w:p w14:paraId="7BBE37B5">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3.4.4 涂料配制时,应采用机械搅拌,搅拌应均匀,避免产生气泡。加入固化剂后,涂料应在 40 分钟内用完。</w:t>
      </w:r>
    </w:p>
    <w:p w14:paraId="27BA3203">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3.4.5 每道涂层的厚度控制应符合下面的规定:</w:t>
      </w:r>
    </w:p>
    <w:p w14:paraId="09C6E96E">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底漆:30～50um/道</w:t>
      </w:r>
    </w:p>
    <w:p w14:paraId="204A2477">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面漆:50～70um/道</w:t>
      </w:r>
    </w:p>
    <w:p w14:paraId="2DDA3F50">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鳞片涂料:150～250 um/道</w:t>
      </w:r>
    </w:p>
    <w:p w14:paraId="1AC1B3F5">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总厚度: ≥600um</w:t>
      </w:r>
    </w:p>
    <w:p w14:paraId="58E057DF">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3.4.6 涂料涂刷时的方向应一致,两层之间的涂刷方向应垂直。涂层应均匀,不允许漏涂,无流挂、气泡、针眼、杂物(如刷毛、砂粒)等,也不允许存在其它缺陷。</w:t>
      </w:r>
    </w:p>
    <w:p w14:paraId="72D8A6A5">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3.4.7 在第一道底漆涂刷后,应对表面凹凸不平处及结构转角处用腻子抹平整或成圆滑过渡。 (必要时,应用细砂纸打磨腻子表面, 以保证涂层的外观质量。)</w:t>
      </w:r>
    </w:p>
    <w:p w14:paraId="57E2071E">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3.4.8 第二道底漆涂刷前,应对第一道底漆进行清理，去除所有的灰尘、沙粒等杂物。必要时，应用酒精或丙酮擦洗干净。</w:t>
      </w:r>
    </w:p>
    <w:p w14:paraId="095A0640">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3.4.9 依次施工以后的各道面漆。</w:t>
      </w:r>
    </w:p>
    <w:p w14:paraId="196430A2">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 ．检验</w:t>
      </w:r>
    </w:p>
    <w:p w14:paraId="3B26B301">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4.1 在防腐施工的每一工序完成后,应经过检验(中间检验),合格后方能进行下一道工序的施工。检验不合格的部位必须返修,并再次检验, 同一部位的返修次数不得大于二次。</w:t>
      </w:r>
    </w:p>
    <w:p w14:paraId="7545CDC2">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4.2 全部防腐施工完成后,应经过最终检验,合格后才能验收。不合格时也应返修及重新检验。</w:t>
      </w:r>
    </w:p>
    <w:p w14:paraId="11C2C2BF">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4.3 检验工作由施工单位负责进行,如实的作好记录。必要时,承包商和业主可以参加检验。</w:t>
      </w:r>
    </w:p>
    <w:p w14:paraId="30CA1875">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4.4 检验要求和合格指标</w:t>
      </w:r>
    </w:p>
    <w:p w14:paraId="588B457F">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4.4.1 中间检验</w:t>
      </w:r>
    </w:p>
    <w:p w14:paraId="7772C0CA">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(1)表面处理的检验</w:t>
      </w:r>
    </w:p>
    <w:p w14:paraId="4DDDDC13">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采用目测法:质量应达到本文件第 3.3 条中要求的指标。</w:t>
      </w:r>
    </w:p>
    <w:p w14:paraId="20B84054">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(2)底、面漆的检验</w:t>
      </w:r>
    </w:p>
    <w:p w14:paraId="443EF239">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采用目测法:质量要求是不得漏涂,涂层应均匀,无刷纹 、流挂、气泡、针眼、微裂纹、杂物等缺陷,也不允许存在泛白或固化不完全。</w:t>
      </w:r>
    </w:p>
    <w:p w14:paraId="7491A24D">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(3)抹腻子后的检验</w:t>
      </w:r>
    </w:p>
    <w:p w14:paraId="4E025D4C">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采用目测法:抹腻子后的防腐表面应平整或成圆滑过渡。</w:t>
      </w:r>
    </w:p>
    <w:p w14:paraId="685142ED">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(4)刷涂鳞片涂料后的检验</w:t>
      </w:r>
    </w:p>
    <w:p w14:paraId="4540ECBC">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鳞片涂料刷涂后应采用目测法和仪器检验相结合:</w:t>
      </w:r>
    </w:p>
    <w:p w14:paraId="55772646">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a:采用目测法:同本节 4.4.1(2)条的要求相同。</w:t>
      </w:r>
    </w:p>
    <w:p w14:paraId="55A3E798">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b:鳞片涂料的厚度为不小于 500um。在鳞片涂料施工后，其厚度测定采用测厚仪,在被测表面的每一平方米内任意选择一个点，其测定结果应符合上面的要求。以随机抽查点的检验结果判定。</w:t>
      </w:r>
    </w:p>
    <w:p w14:paraId="717A4CBE">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4.4.2 最终检验</w:t>
      </w:r>
    </w:p>
    <w:p w14:paraId="3ADD0132">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在防腐施工全部完成并养护 48 小时后,应进行最终检验,检验的内容为 :</w:t>
      </w:r>
    </w:p>
    <w:p w14:paraId="59A866DD">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(1)厚度的测定</w:t>
      </w:r>
    </w:p>
    <w:p w14:paraId="7A264B78">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采用测厚仪:在整个涂层表面上测定,每平方米不少于一个点,总厚度应不小于 3.4.5 的要求。</w:t>
      </w:r>
    </w:p>
    <w:p w14:paraId="6373E17D">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  涂层质量的检验</w:t>
      </w:r>
    </w:p>
    <w:p w14:paraId="3DE49926">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采用目测法和电火花检漏仪:</w:t>
      </w:r>
    </w:p>
    <w:p w14:paraId="7577DB4B">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目测检验(必要时应采用放大镜):涂层的质量应符合 4.4.1(2)条中的规定。固化度的检验应用干净的棉浸乙醇(或丙酮)擦涂层表面,棉花不变色为合格。</w:t>
      </w:r>
    </w:p>
    <w:p w14:paraId="14D4BC71">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电火花检漏仪检查:检查涂层内部的微细缺陷,如针眼、发纹、微气孔等,检测电压采用 3000V 的电压。对整个涂层进行检测, 以不产生电火化为合格。</w:t>
      </w:r>
    </w:p>
    <w:p w14:paraId="5A718537">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5.     返修</w:t>
      </w:r>
    </w:p>
    <w:p w14:paraId="698F5FEB">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5.1 在各次检验中,检查出来的不合格部位均应进行返修。经再次检验合</w:t>
      </w:r>
    </w:p>
    <w:p w14:paraId="7F431CAA">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格即可。</w:t>
      </w:r>
    </w:p>
    <w:p w14:paraId="1F723040">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5.2 中间检验检查出来的缺陷,返修时只要清除该道工序中的缺陷,然后按原施工方法进行返修。对鳞片涂料层,若厚度达不道 4.4.1(4)b 的要求,可增加涂层的道数来达到规定的厚度。</w:t>
      </w:r>
    </w:p>
    <w:p w14:paraId="2140D2B1">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5.3 最终检验检查出来的缺陷,按下面情况进行处理。</w:t>
      </w:r>
    </w:p>
    <w:p w14:paraId="726C2173">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5.3.1 增加面漆涂层的道数来保证达到规定的厚度。</w:t>
      </w:r>
    </w:p>
    <w:p w14:paraId="19FA6BFA">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5.3.2 电火花检漏仪检查出来的微气泡或针眼或发纹等应彻底清除缺陷后按原施工方法重新施工,并重新检验。</w:t>
      </w:r>
    </w:p>
    <w:p w14:paraId="7B560BF8">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6.     验收</w:t>
      </w:r>
    </w:p>
    <w:p w14:paraId="008B3F47">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6.1 施工单位在防腐施工完成并经最终检验合格后,既应通知业主办理验收交接事宜。(按合同要求)</w:t>
      </w:r>
    </w:p>
    <w:p w14:paraId="248729E2">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6.2 施工单位应提供的验收文件</w:t>
      </w:r>
    </w:p>
    <w:p w14:paraId="68F13E35">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施工单位在进行验收工作前应准备如下文件，以便办理验收交接事宜。这些文件应包括原材料的产品合格证明书；复验或抽验报告（如果有的话）；隐蔽工程记录（如气象条件、原材料的配比、测定的粘度或比重、施工过程等）；中间检验和最终检验的报告；返修的部位、次数、方法及再检验报告（如果有的话）等。</w:t>
      </w:r>
    </w:p>
    <w:p w14:paraId="21622CB5">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6.3 所有的文件均应能如实地反映施工情况， 并应有当事人和负责人的签字。该文件可以是原件或影印件。</w:t>
      </w:r>
    </w:p>
    <w:p w14:paraId="036948E6">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6.4 承包商及业主根据施工单位提供的文件对实际施工的质量进行检验，确认涂层的质量全部符合施工技术要求的规定后，双方签字验收。</w:t>
      </w:r>
    </w:p>
    <w:p w14:paraId="620EC6FB">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 注意事项</w:t>
      </w:r>
    </w:p>
    <w:p w14:paraId="1FCA04A9">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7.1 施工时的气温应在 15℃以上，露点温度以上3℃。</w:t>
      </w:r>
    </w:p>
    <w:p w14:paraId="1EA458D4">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7.2 施工现场应有防雨、露水和灰尘的设施。</w:t>
      </w:r>
    </w:p>
    <w:p w14:paraId="2FA54D0F">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7.3 施工用具应清洁，每次施工完后应清洗干净, 以备下次再用。</w:t>
      </w:r>
    </w:p>
    <w:p w14:paraId="59534E1F">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7.4 严防水、杂物等掉进涂料内，以免影响涂层的质量。</w:t>
      </w:r>
    </w:p>
    <w:p w14:paraId="68AA923E">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7.5 为确保施工质量,便于检查及确保施工所需的层数，可在涂料和胶泥配制时,与固化剂一起同时加入适量有机颜料，以示层次的区别。</w:t>
      </w:r>
    </w:p>
    <w:p w14:paraId="0E7B83DF">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7.6 施工应有通风良好的条件,应禁止一切明火，照明应采用低压电源。</w:t>
      </w:r>
    </w:p>
    <w:p w14:paraId="43300769">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7.7 应对施工人员进行安全教育,配备必要的劳动保护用品,注意施工人员的人身安全。</w:t>
      </w:r>
    </w:p>
    <w:p w14:paraId="7D004561">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7.8 每道工序施工前，应对上道工序进行清理， 去除所有的灰尘、沙粒等杂物。必要时应用乙醇或丙酮揩擦一遍，以免影响施工质量。</w:t>
      </w:r>
    </w:p>
    <w:p w14:paraId="62819A26">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7.9 撤除脚手架后, 由于脚手架影响施工的部位应进行修补。</w:t>
      </w:r>
    </w:p>
    <w:p w14:paraId="6A926E37">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7.10 防腐施工完成后, 防腐层应加以保护,在吊装、运输过程中尤应小心,避免撞击、敲打和施焊。</w:t>
      </w:r>
    </w:p>
    <w:p w14:paraId="3BE2AA9B">
      <w:pPr>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7.11 防腐层至少应养护 7 天以上方能投入使用。</w:t>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55688">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80557B"/>
    <w:multiLevelType w:val="singleLevel"/>
    <w:tmpl w:val="1680557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0NjBkZTdjNGE3YmMyZDE3M2I2OTQyYjIyMmRiNGIifQ=="/>
  </w:docVars>
  <w:rsids>
    <w:rsidRoot w:val="00000000"/>
    <w:rsid w:val="01C04E49"/>
    <w:rsid w:val="027A149C"/>
    <w:rsid w:val="03416D35"/>
    <w:rsid w:val="03D40D58"/>
    <w:rsid w:val="054F4E62"/>
    <w:rsid w:val="06C3547C"/>
    <w:rsid w:val="0C5B0DF3"/>
    <w:rsid w:val="0D4C7ED9"/>
    <w:rsid w:val="0D7A67F4"/>
    <w:rsid w:val="0E680D42"/>
    <w:rsid w:val="110C1E59"/>
    <w:rsid w:val="14C440AC"/>
    <w:rsid w:val="15205444"/>
    <w:rsid w:val="16290DB7"/>
    <w:rsid w:val="1675224E"/>
    <w:rsid w:val="16F969DB"/>
    <w:rsid w:val="173858C9"/>
    <w:rsid w:val="19E420C7"/>
    <w:rsid w:val="1A3068D4"/>
    <w:rsid w:val="1AF04599"/>
    <w:rsid w:val="1D58405D"/>
    <w:rsid w:val="1E1B4FF7"/>
    <w:rsid w:val="1E8E0351"/>
    <w:rsid w:val="1EAC4C7B"/>
    <w:rsid w:val="1F617814"/>
    <w:rsid w:val="21B24356"/>
    <w:rsid w:val="21D17412"/>
    <w:rsid w:val="223E2ED1"/>
    <w:rsid w:val="24B108F5"/>
    <w:rsid w:val="25513F26"/>
    <w:rsid w:val="255C2C60"/>
    <w:rsid w:val="25A14E0E"/>
    <w:rsid w:val="26F074B1"/>
    <w:rsid w:val="279938C3"/>
    <w:rsid w:val="294D2BB7"/>
    <w:rsid w:val="29D60DFE"/>
    <w:rsid w:val="2EDF2503"/>
    <w:rsid w:val="2F3740ED"/>
    <w:rsid w:val="30C93780"/>
    <w:rsid w:val="31124E12"/>
    <w:rsid w:val="32026C34"/>
    <w:rsid w:val="33235B82"/>
    <w:rsid w:val="37A34A15"/>
    <w:rsid w:val="39D02AFE"/>
    <w:rsid w:val="3EBF7C5B"/>
    <w:rsid w:val="439B3F9B"/>
    <w:rsid w:val="43D2242F"/>
    <w:rsid w:val="44C52332"/>
    <w:rsid w:val="45BB125A"/>
    <w:rsid w:val="4C681932"/>
    <w:rsid w:val="4DCF3D93"/>
    <w:rsid w:val="4F50502B"/>
    <w:rsid w:val="50606A00"/>
    <w:rsid w:val="50F47C38"/>
    <w:rsid w:val="51281690"/>
    <w:rsid w:val="524259BD"/>
    <w:rsid w:val="52C56121"/>
    <w:rsid w:val="53E36D11"/>
    <w:rsid w:val="54C067AF"/>
    <w:rsid w:val="552F6EA1"/>
    <w:rsid w:val="56F94885"/>
    <w:rsid w:val="58311772"/>
    <w:rsid w:val="58716105"/>
    <w:rsid w:val="5C133668"/>
    <w:rsid w:val="5DAE3F7B"/>
    <w:rsid w:val="5DC7295C"/>
    <w:rsid w:val="5F9F5F82"/>
    <w:rsid w:val="6142054C"/>
    <w:rsid w:val="631117CF"/>
    <w:rsid w:val="638B442C"/>
    <w:rsid w:val="64526CF8"/>
    <w:rsid w:val="64CC6AAA"/>
    <w:rsid w:val="66F351B2"/>
    <w:rsid w:val="671B3414"/>
    <w:rsid w:val="683D528A"/>
    <w:rsid w:val="68D61B92"/>
    <w:rsid w:val="6AA33E09"/>
    <w:rsid w:val="6AD9782B"/>
    <w:rsid w:val="6D107623"/>
    <w:rsid w:val="6D6535F8"/>
    <w:rsid w:val="70313C65"/>
    <w:rsid w:val="72872706"/>
    <w:rsid w:val="75C9721A"/>
    <w:rsid w:val="76835805"/>
    <w:rsid w:val="769200B9"/>
    <w:rsid w:val="77A34190"/>
    <w:rsid w:val="7859644F"/>
    <w:rsid w:val="79FF4BA8"/>
    <w:rsid w:val="7BB7710E"/>
    <w:rsid w:val="7CCF0A8E"/>
    <w:rsid w:val="7CDC31AB"/>
    <w:rsid w:val="7D407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link w:val="12"/>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9"/>
    <w:qFormat/>
    <w:uiPriority w:val="0"/>
    <w:rPr>
      <w:rFonts w:hint="eastAsia" w:ascii="宋体" w:hAnsi="宋体" w:eastAsia="宋体" w:cs="宋体"/>
      <w:color w:val="000000"/>
      <w:sz w:val="21"/>
      <w:szCs w:val="21"/>
      <w:u w:val="none"/>
    </w:rPr>
  </w:style>
  <w:style w:type="character" w:customStyle="1" w:styleId="11">
    <w:name w:val="font21"/>
    <w:basedOn w:val="9"/>
    <w:qFormat/>
    <w:uiPriority w:val="0"/>
    <w:rPr>
      <w:rFonts w:hint="eastAsia" w:ascii="宋体" w:hAnsi="宋体" w:eastAsia="宋体" w:cs="宋体"/>
      <w:b/>
      <w:bCs/>
      <w:color w:val="000000"/>
      <w:sz w:val="21"/>
      <w:szCs w:val="21"/>
      <w:u w:val="none"/>
    </w:rPr>
  </w:style>
  <w:style w:type="character" w:customStyle="1" w:styleId="12">
    <w:name w:val="标题 1 Char"/>
    <w:link w:val="2"/>
    <w:qFormat/>
    <w:uiPriority w:val="0"/>
    <w:rPr>
      <w:b/>
      <w:kern w:val="44"/>
      <w:sz w:val="44"/>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8967</Words>
  <Characters>10776</Characters>
  <Lines>0</Lines>
  <Paragraphs>0</Paragraphs>
  <TotalTime>4</TotalTime>
  <ScaleCrop>false</ScaleCrop>
  <LinksUpToDate>false</LinksUpToDate>
  <CharactersWithSpaces>11070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2023-12-01T10:23:00Z</dcterms:created>
  <dc:creator>慢半拍</dc:creator>
  <cp:lastModifiedBy>流萤逐风</cp:lastModifiedBy>
  <dcterms:modified xsi:type="dcterms:W3CDTF">2025-12-10T02:36:22Z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BD71BD58057C488EB4BBAFBC783DC7D8_13</vt:lpwstr>
  </property>
  <property fmtid="{D5CDD505-2E9C-101B-9397-08002B2CF9AE}" pid="4" name="KSOTemplateDocerSaveRecord">
    <vt:lpwstr>eyJoZGlkIjoiNTc2YmRiNTkwY2YwZGI2MTM4MDc1MjI5NmU5ZDBiMDYiLCJ1c2VySWQiOiI5NDg2MzAyODYifQ==</vt:lpwstr>
  </property>
</Properties>
</file>